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90" w:rsidRPr="00322CE8" w:rsidRDefault="001F499A" w:rsidP="00322CE8">
      <w:pPr>
        <w:bidi/>
        <w:jc w:val="center"/>
        <w:rPr>
          <w:rFonts w:cs="Guttman Keren" w:hint="cs"/>
          <w:b/>
          <w:bCs/>
          <w:sz w:val="36"/>
          <w:szCs w:val="36"/>
          <w:rtl/>
        </w:rPr>
      </w:pPr>
      <w:r w:rsidRPr="00322CE8">
        <w:rPr>
          <w:rFonts w:cs="Guttman Keren" w:hint="cs"/>
          <w:b/>
          <w:bCs/>
          <w:sz w:val="36"/>
          <w:szCs w:val="36"/>
          <w:rtl/>
        </w:rPr>
        <w:t xml:space="preserve">"הדר בחצר חברו" </w:t>
      </w:r>
      <w:r w:rsidRPr="00322CE8">
        <w:rPr>
          <w:rFonts w:cs="Guttman Keren"/>
          <w:b/>
          <w:bCs/>
          <w:sz w:val="36"/>
          <w:szCs w:val="36"/>
          <w:rtl/>
        </w:rPr>
        <w:t>–</w:t>
      </w:r>
      <w:r w:rsidRPr="00322CE8">
        <w:rPr>
          <w:rFonts w:cs="Guttman Keren" w:hint="cs"/>
          <w:b/>
          <w:bCs/>
          <w:sz w:val="36"/>
          <w:szCs w:val="36"/>
          <w:rtl/>
        </w:rPr>
        <w:t xml:space="preserve"> </w:t>
      </w:r>
      <w:r w:rsidR="006F751C" w:rsidRPr="00322CE8">
        <w:rPr>
          <w:rFonts w:cs="Guttman Keren" w:hint="cs"/>
          <w:b/>
          <w:bCs/>
          <w:sz w:val="36"/>
          <w:szCs w:val="36"/>
          <w:rtl/>
        </w:rPr>
        <w:t xml:space="preserve">עמ' </w:t>
      </w:r>
      <w:r w:rsidR="00213CA2" w:rsidRPr="00322CE8">
        <w:rPr>
          <w:rFonts w:cs="Guttman Keren" w:hint="cs"/>
          <w:b/>
          <w:bCs/>
          <w:sz w:val="36"/>
          <w:szCs w:val="36"/>
          <w:rtl/>
        </w:rPr>
        <w:t>22</w:t>
      </w:r>
      <w:r w:rsidR="006F751C" w:rsidRPr="00322CE8">
        <w:rPr>
          <w:rFonts w:cs="Guttman Keren" w:hint="cs"/>
          <w:b/>
          <w:bCs/>
          <w:sz w:val="36"/>
          <w:szCs w:val="36"/>
          <w:rtl/>
        </w:rPr>
        <w:t xml:space="preserve">-12 </w:t>
      </w:r>
      <w:r w:rsidR="00B670DD" w:rsidRPr="00322CE8">
        <w:rPr>
          <w:rFonts w:cs="Guttman Keren"/>
          <w:b/>
          <w:bCs/>
          <w:sz w:val="36"/>
          <w:szCs w:val="36"/>
          <w:rtl/>
        </w:rPr>
        <w:t>–</w:t>
      </w:r>
      <w:r w:rsidR="006F751C" w:rsidRPr="00322CE8">
        <w:rPr>
          <w:rFonts w:cs="Guttman Keren" w:hint="cs"/>
          <w:b/>
          <w:bCs/>
          <w:sz w:val="36"/>
          <w:szCs w:val="36"/>
          <w:rtl/>
        </w:rPr>
        <w:t xml:space="preserve"> </w:t>
      </w:r>
      <w:r w:rsidRPr="00322CE8">
        <w:rPr>
          <w:rFonts w:cs="Guttman Keren" w:hint="cs"/>
          <w:b/>
          <w:bCs/>
          <w:sz w:val="36"/>
          <w:szCs w:val="36"/>
          <w:rtl/>
        </w:rPr>
        <w:t>דגשים</w:t>
      </w:r>
    </w:p>
    <w:p w:rsidR="00B670DD" w:rsidRPr="00322CE8" w:rsidRDefault="00B670DD" w:rsidP="00322CE8">
      <w:pPr>
        <w:bidi/>
        <w:jc w:val="center"/>
        <w:rPr>
          <w:rFonts w:cs="Guttman Keren" w:hint="cs"/>
          <w:b/>
          <w:bCs/>
          <w:sz w:val="26"/>
          <w:szCs w:val="26"/>
          <w:rtl/>
        </w:rPr>
      </w:pPr>
      <w:r w:rsidRPr="00322CE8">
        <w:rPr>
          <w:rFonts w:cs="Guttman Keren" w:hint="cs"/>
          <w:b/>
          <w:bCs/>
          <w:sz w:val="26"/>
          <w:szCs w:val="26"/>
          <w:rtl/>
        </w:rPr>
        <w:t>לימוד ביום עיון למורי תושב"ע ומשפט עברי - יורם גלילי</w:t>
      </w:r>
    </w:p>
    <w:p w:rsidR="00B670DD" w:rsidRPr="003120EF" w:rsidRDefault="00B670DD" w:rsidP="001F499A">
      <w:pPr>
        <w:bidi/>
        <w:rPr>
          <w:rFonts w:hint="cs"/>
          <w:sz w:val="20"/>
          <w:szCs w:val="20"/>
          <w:rtl/>
        </w:rPr>
      </w:pPr>
    </w:p>
    <w:p w:rsidR="001F499A" w:rsidRPr="00322CE8" w:rsidRDefault="00497608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>פתיחה מ</w:t>
      </w:r>
      <w:r w:rsidR="00B670DD" w:rsidRPr="00322CE8">
        <w:rPr>
          <w:rFonts w:cs="Guttman Keren" w:hint="cs"/>
          <w:b/>
          <w:bCs/>
          <w:rtl/>
        </w:rPr>
        <w:t>ַ</w:t>
      </w:r>
      <w:r w:rsidRPr="00322CE8">
        <w:rPr>
          <w:rFonts w:cs="Guttman Keren" w:hint="cs"/>
          <w:b/>
          <w:bCs/>
          <w:rtl/>
        </w:rPr>
        <w:t>ק</w:t>
      </w:r>
      <w:r w:rsidR="00B670DD" w:rsidRPr="00322CE8">
        <w:rPr>
          <w:rFonts w:cs="Guttman Keren" w:hint="cs"/>
          <w:b/>
          <w:bCs/>
          <w:rtl/>
        </w:rPr>
        <w:t>ְ</w:t>
      </w:r>
      <w:r w:rsidRPr="00322CE8">
        <w:rPr>
          <w:rFonts w:cs="Guttman Keren" w:hint="cs"/>
          <w:b/>
          <w:bCs/>
          <w:rtl/>
        </w:rPr>
        <w:t>דימה</w:t>
      </w:r>
      <w:r w:rsidR="00322CE8" w:rsidRPr="00322CE8">
        <w:rPr>
          <w:rFonts w:cs="Guttman Keren" w:hint="cs"/>
          <w:b/>
          <w:bCs/>
          <w:rtl/>
        </w:rPr>
        <w:t xml:space="preserve"> והערה כללית למהלך:</w:t>
      </w:r>
    </w:p>
    <w:p w:rsidR="001F499A" w:rsidRDefault="00322CE8" w:rsidP="00322CE8">
      <w:pPr>
        <w:bidi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 w:rsidR="001F499A">
        <w:rPr>
          <w:rFonts w:hint="cs"/>
          <w:rtl/>
        </w:rPr>
        <w:t xml:space="preserve"> חשוב לנסות </w:t>
      </w:r>
      <w:r w:rsidR="001F499A" w:rsidRPr="002B4A5C">
        <w:rPr>
          <w:rFonts w:hint="cs"/>
          <w:b/>
          <w:bCs/>
          <w:rtl/>
        </w:rPr>
        <w:t>לפתוח בט</w:t>
      </w:r>
      <w:r w:rsidR="002B4A5C">
        <w:rPr>
          <w:rFonts w:hint="cs"/>
          <w:b/>
          <w:bCs/>
          <w:rtl/>
        </w:rPr>
        <w:t>ְ</w:t>
      </w:r>
      <w:r w:rsidR="001F499A" w:rsidRPr="002B4A5C">
        <w:rPr>
          <w:rFonts w:hint="cs"/>
          <w:b/>
          <w:bCs/>
          <w:rtl/>
        </w:rPr>
        <w:t>ר</w:t>
      </w:r>
      <w:r w:rsidR="002B4A5C">
        <w:rPr>
          <w:rFonts w:hint="cs"/>
          <w:b/>
          <w:bCs/>
          <w:rtl/>
        </w:rPr>
        <w:t>ִ</w:t>
      </w:r>
      <w:r w:rsidR="001F499A" w:rsidRPr="002B4A5C">
        <w:rPr>
          <w:rFonts w:hint="cs"/>
          <w:b/>
          <w:bCs/>
          <w:rtl/>
        </w:rPr>
        <w:t>יג</w:t>
      </w:r>
      <w:r w:rsidR="002B4A5C">
        <w:rPr>
          <w:rFonts w:hint="cs"/>
          <w:b/>
          <w:bCs/>
          <w:rtl/>
        </w:rPr>
        <w:t>ֶ</w:t>
      </w:r>
      <w:r w:rsidR="001F499A" w:rsidRPr="002B4A5C">
        <w:rPr>
          <w:rFonts w:hint="cs"/>
          <w:b/>
          <w:bCs/>
          <w:rtl/>
        </w:rPr>
        <w:t>ר</w:t>
      </w:r>
      <w:r w:rsidR="001F499A">
        <w:rPr>
          <w:rFonts w:hint="cs"/>
          <w:rtl/>
        </w:rPr>
        <w:t>, שימקד את הדיון. אפשר בסרטון, ואפשר בסיפור מדגים</w:t>
      </w:r>
      <w:r w:rsidR="006E4E39">
        <w:rPr>
          <w:rFonts w:hint="cs"/>
          <w:rtl/>
        </w:rPr>
        <w:t>. למשל</w:t>
      </w:r>
      <w:r w:rsidR="001F499A">
        <w:rPr>
          <w:rFonts w:hint="cs"/>
          <w:rtl/>
        </w:rPr>
        <w:t>:</w:t>
      </w:r>
    </w:p>
    <w:p w:rsidR="001F499A" w:rsidRDefault="001F499A" w:rsidP="00322CE8">
      <w:pPr>
        <w:bidi/>
        <w:jc w:val="both"/>
        <w:rPr>
          <w:rFonts w:hint="cs"/>
          <w:rtl/>
        </w:rPr>
      </w:pPr>
      <w:r>
        <w:rPr>
          <w:rFonts w:hint="cs"/>
          <w:rtl/>
        </w:rPr>
        <w:t>- שכן שגולש על האינטרנט האלחוטי שלך</w:t>
      </w:r>
    </w:p>
    <w:p w:rsidR="001F499A" w:rsidRDefault="001F499A" w:rsidP="00322CE8">
      <w:pPr>
        <w:bidi/>
        <w:jc w:val="both"/>
        <w:rPr>
          <w:rFonts w:hint="cs"/>
          <w:rtl/>
        </w:rPr>
      </w:pPr>
      <w:r>
        <w:rPr>
          <w:rFonts w:hint="cs"/>
          <w:rtl/>
        </w:rPr>
        <w:t>- מישהו שרוצה להצטרף אליך לטרמפ</w:t>
      </w:r>
    </w:p>
    <w:p w:rsidR="001F499A" w:rsidRDefault="001F499A" w:rsidP="00322CE8">
      <w:pPr>
        <w:bidi/>
        <w:jc w:val="both"/>
        <w:rPr>
          <w:rFonts w:hint="cs"/>
          <w:rtl/>
        </w:rPr>
      </w:pPr>
      <w:r>
        <w:rPr>
          <w:rFonts w:hint="cs"/>
          <w:rtl/>
        </w:rPr>
        <w:t>- מישהו שמבקש שהילדים שלו יצטרפו ל-"קייטנת הורים" ליום אחד.</w:t>
      </w:r>
    </w:p>
    <w:p w:rsidR="00322CE8" w:rsidRPr="003120EF" w:rsidRDefault="00322CE8" w:rsidP="00322CE8">
      <w:pPr>
        <w:bidi/>
        <w:jc w:val="both"/>
        <w:rPr>
          <w:rFonts w:hint="cs"/>
          <w:sz w:val="20"/>
          <w:szCs w:val="20"/>
          <w:rtl/>
        </w:rPr>
      </w:pPr>
    </w:p>
    <w:p w:rsidR="006E4E39" w:rsidRDefault="00322CE8" w:rsidP="00B730F8">
      <w:pPr>
        <w:bidi/>
        <w:ind w:left="296" w:hanging="29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</w:t>
      </w:r>
      <w:r w:rsidR="006E4E39">
        <w:rPr>
          <w:rFonts w:hint="cs"/>
          <w:rtl/>
        </w:rPr>
        <w:t xml:space="preserve">הצעתנו היא </w:t>
      </w:r>
      <w:r w:rsidR="006E4E39" w:rsidRPr="002A1FC6">
        <w:rPr>
          <w:rFonts w:hint="cs"/>
          <w:b/>
          <w:bCs/>
          <w:rtl/>
        </w:rPr>
        <w:t>לא לפתוח במשנה</w:t>
      </w:r>
      <w:r w:rsidR="006E4E39">
        <w:rPr>
          <w:rFonts w:hint="cs"/>
          <w:rtl/>
        </w:rPr>
        <w:t xml:space="preserve">, ש"נופלת" משום מקום על התלמידים, </w:t>
      </w:r>
      <w:r w:rsidR="006E4E39" w:rsidRPr="002A1FC6">
        <w:rPr>
          <w:rFonts w:hint="cs"/>
          <w:b/>
          <w:bCs/>
          <w:rtl/>
        </w:rPr>
        <w:t>אלא מהגמרא</w:t>
      </w:r>
      <w:r w:rsidR="006E4E39">
        <w:rPr>
          <w:rFonts w:hint="cs"/>
          <w:rtl/>
        </w:rPr>
        <w:t>. ברגע שמוזכרת המשנה ב</w:t>
      </w:r>
      <w:r w:rsidR="002A1FC6">
        <w:rPr>
          <w:rFonts w:hint="cs"/>
          <w:rtl/>
        </w:rPr>
        <w:t>דיון שב</w:t>
      </w:r>
      <w:r w:rsidR="006E4E39">
        <w:rPr>
          <w:rFonts w:hint="cs"/>
          <w:rtl/>
        </w:rPr>
        <w:t xml:space="preserve">גמרא, אפשר לחזור </w:t>
      </w:r>
      <w:r w:rsidR="006F751C">
        <w:rPr>
          <w:rFonts w:hint="cs"/>
          <w:rtl/>
        </w:rPr>
        <w:t xml:space="preserve">שני </w:t>
      </w:r>
      <w:r w:rsidR="006E4E39">
        <w:rPr>
          <w:rFonts w:hint="cs"/>
          <w:rtl/>
        </w:rPr>
        <w:t>עמוד</w:t>
      </w:r>
      <w:r w:rsidR="006F751C">
        <w:rPr>
          <w:rFonts w:hint="cs"/>
          <w:rtl/>
        </w:rPr>
        <w:t>ים אחורה, למשנה, כחומר-עזר.</w:t>
      </w:r>
    </w:p>
    <w:p w:rsidR="006F751C" w:rsidRPr="003120EF" w:rsidRDefault="006F751C" w:rsidP="00322CE8">
      <w:pPr>
        <w:bidi/>
        <w:jc w:val="both"/>
        <w:rPr>
          <w:rFonts w:hint="cs"/>
          <w:sz w:val="20"/>
          <w:szCs w:val="20"/>
          <w:rtl/>
        </w:rPr>
      </w:pPr>
    </w:p>
    <w:p w:rsidR="00497608" w:rsidRPr="00322CE8" w:rsidRDefault="00497608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>עמוד</w:t>
      </w:r>
      <w:r w:rsidRPr="00322CE8">
        <w:rPr>
          <w:rFonts w:cs="Guttman Keren" w:hint="cs"/>
          <w:b/>
          <w:bCs/>
          <w:rtl/>
        </w:rPr>
        <w:t xml:space="preserve"> 14</w:t>
      </w:r>
    </w:p>
    <w:p w:rsidR="006F751C" w:rsidRDefault="006F751C" w:rsidP="00B730F8">
      <w:pPr>
        <w:bidi/>
        <w:ind w:left="296" w:hanging="29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 w:rsidR="00322CE8">
        <w:rPr>
          <w:rFonts w:hint="cs"/>
          <w:rtl/>
        </w:rPr>
        <w:t xml:space="preserve"> </w:t>
      </w:r>
      <w:r>
        <w:rPr>
          <w:rFonts w:hint="cs"/>
          <w:rtl/>
        </w:rPr>
        <w:t xml:space="preserve">להמחיש לתלמידים את המהלך של </w:t>
      </w:r>
      <w:r w:rsidRPr="002A1FC6">
        <w:rPr>
          <w:rFonts w:hint="cs"/>
          <w:b/>
          <w:bCs/>
          <w:rtl/>
        </w:rPr>
        <w:t>האלימינציה</w:t>
      </w:r>
      <w:r>
        <w:rPr>
          <w:rFonts w:hint="cs"/>
          <w:rtl/>
        </w:rPr>
        <w:t xml:space="preserve">, שבו משתמשים בזמן בירור וחידוד הדיון: "המקרה הזה לא, המקרה הזה לא...המקרה הזה </w:t>
      </w:r>
      <w:r>
        <w:rPr>
          <w:rtl/>
        </w:rPr>
        <w:t>–</w:t>
      </w:r>
      <w:r>
        <w:rPr>
          <w:rFonts w:hint="cs"/>
          <w:rtl/>
        </w:rPr>
        <w:t xml:space="preserve"> כן!".</w:t>
      </w:r>
    </w:p>
    <w:p w:rsidR="00CE4D3F" w:rsidRDefault="00CE4D3F" w:rsidP="00322CE8">
      <w:pPr>
        <w:bidi/>
        <w:jc w:val="both"/>
        <w:rPr>
          <w:rFonts w:hint="cs"/>
          <w:rtl/>
        </w:rPr>
      </w:pPr>
    </w:p>
    <w:p w:rsidR="00CE4D3F" w:rsidRDefault="00CE4D3F" w:rsidP="00B730F8">
      <w:pPr>
        <w:bidi/>
        <w:ind w:left="206" w:hanging="20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נשים לב שכלל חוזר הוא שבכל מקרה שמוכח בו נזק (או שברור שיש בו נזק) </w:t>
      </w:r>
      <w:r>
        <w:rPr>
          <w:rtl/>
        </w:rPr>
        <w:t>–</w:t>
      </w:r>
      <w:r>
        <w:rPr>
          <w:rFonts w:hint="cs"/>
          <w:rtl/>
        </w:rPr>
        <w:t xml:space="preserve"> תמיד משלמים. ובכל מקרה שמוכח שלא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בו הנאה (או שברור שאין בו הנאה) </w:t>
      </w:r>
      <w:r>
        <w:rPr>
          <w:rtl/>
        </w:rPr>
        <w:t>–</w:t>
      </w:r>
      <w:r>
        <w:rPr>
          <w:rFonts w:hint="cs"/>
          <w:rtl/>
        </w:rPr>
        <w:t xml:space="preserve"> לא משלמים.</w:t>
      </w:r>
    </w:p>
    <w:p w:rsidR="00497608" w:rsidRDefault="00497608" w:rsidP="00322CE8">
      <w:pPr>
        <w:bidi/>
        <w:jc w:val="both"/>
        <w:rPr>
          <w:rFonts w:hint="cs"/>
          <w:rtl/>
        </w:rPr>
      </w:pPr>
    </w:p>
    <w:p w:rsidR="00497608" w:rsidRPr="00322CE8" w:rsidRDefault="00497608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 xml:space="preserve">עמוד </w:t>
      </w:r>
      <w:r w:rsidRPr="00322CE8">
        <w:rPr>
          <w:rFonts w:cs="Guttman Keren" w:hint="cs"/>
          <w:b/>
          <w:bCs/>
          <w:rtl/>
        </w:rPr>
        <w:t>16</w:t>
      </w:r>
    </w:p>
    <w:p w:rsidR="00765CC6" w:rsidRDefault="00056408" w:rsidP="00B730F8">
      <w:pPr>
        <w:bidi/>
        <w:ind w:left="296" w:hanging="29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בקשתו-דרישתו של רמי בר </w:t>
      </w:r>
      <w:proofErr w:type="spellStart"/>
      <w:r>
        <w:rPr>
          <w:rFonts w:hint="cs"/>
          <w:rtl/>
        </w:rPr>
        <w:t>חמא</w:t>
      </w:r>
      <w:proofErr w:type="spellEnd"/>
      <w:r>
        <w:rPr>
          <w:rFonts w:hint="cs"/>
          <w:rtl/>
        </w:rPr>
        <w:t xml:space="preserve"> מרב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, </w:t>
      </w:r>
      <w:r w:rsidRPr="00056408">
        <w:rPr>
          <w:rFonts w:hint="cs"/>
          <w:u w:val="single"/>
          <w:rtl/>
        </w:rPr>
        <w:t>כמסמלת</w:t>
      </w:r>
      <w:r>
        <w:rPr>
          <w:rFonts w:hint="cs"/>
          <w:rtl/>
        </w:rPr>
        <w:t xml:space="preserve"> את הכלל שלפיו </w:t>
      </w:r>
      <w:r>
        <w:rPr>
          <w:rtl/>
        </w:rPr>
        <w:t>–</w:t>
      </w:r>
      <w:r>
        <w:rPr>
          <w:rFonts w:hint="cs"/>
          <w:rtl/>
        </w:rPr>
        <w:t xml:space="preserve"> מי שרוצה משהו, צריך לשלם עליו (ובהקשר שלנו: על הנאה </w:t>
      </w:r>
      <w:r>
        <w:rPr>
          <w:rtl/>
        </w:rPr>
        <w:t>–</w:t>
      </w:r>
      <w:r>
        <w:rPr>
          <w:rFonts w:hint="cs"/>
          <w:rtl/>
        </w:rPr>
        <w:t xml:space="preserve"> משלמים!).</w:t>
      </w:r>
    </w:p>
    <w:p w:rsidR="00765CC6" w:rsidRDefault="00765CC6" w:rsidP="00322CE8">
      <w:pPr>
        <w:bidi/>
        <w:jc w:val="both"/>
        <w:rPr>
          <w:rFonts w:hint="cs"/>
          <w:rtl/>
        </w:rPr>
      </w:pPr>
    </w:p>
    <w:p w:rsidR="00765CC6" w:rsidRPr="00322CE8" w:rsidRDefault="00765CC6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>(עמוד 12)</w:t>
      </w:r>
    </w:p>
    <w:p w:rsidR="00765CC6" w:rsidRDefault="00765CC6" w:rsidP="00B730F8">
      <w:pPr>
        <w:bidi/>
        <w:ind w:left="206" w:hanging="20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המהלך במשנה: </w:t>
      </w:r>
      <w:r w:rsidRPr="00765CC6">
        <w:rPr>
          <w:rFonts w:hint="cs"/>
          <w:b/>
          <w:bCs/>
          <w:rtl/>
        </w:rPr>
        <w:t>כללים וסיוגם.</w:t>
      </w:r>
      <w:r>
        <w:rPr>
          <w:rFonts w:hint="cs"/>
          <w:rtl/>
        </w:rPr>
        <w:t xml:space="preserve"> בקטע מס' 1 מופיע כלל גורף: הבעלים תמיד משלמים! קטע מס' 2 מסייג אותו, ומבטל למעשה כמחצית ממנו: ברשות הרבים אין משלמים. קטע מס' 3 מסייג את הסייג וקובע תשלום מינימלי לבעלים (כגובה ההנאה) אף ברשות הרבים.</w:t>
      </w:r>
    </w:p>
    <w:p w:rsidR="00765CC6" w:rsidRDefault="00765CC6" w:rsidP="00322CE8">
      <w:pPr>
        <w:bidi/>
        <w:jc w:val="both"/>
        <w:rPr>
          <w:rFonts w:hint="cs"/>
          <w:rtl/>
        </w:rPr>
      </w:pPr>
    </w:p>
    <w:p w:rsidR="00765CC6" w:rsidRDefault="00765CC6" w:rsidP="00B730F8">
      <w:pPr>
        <w:bidi/>
        <w:ind w:left="296" w:hanging="29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</w:t>
      </w:r>
      <w:r w:rsidRPr="00765CC6">
        <w:rPr>
          <w:rFonts w:hint="cs"/>
          <w:b/>
          <w:bCs/>
          <w:rtl/>
        </w:rPr>
        <w:t>בחזרה לעמ' 16</w:t>
      </w:r>
      <w:r>
        <w:rPr>
          <w:rFonts w:hint="cs"/>
          <w:rtl/>
        </w:rPr>
        <w:t xml:space="preserve"> - </w:t>
      </w:r>
      <w:r>
        <w:rPr>
          <w:rFonts w:hint="cs"/>
          <w:rtl/>
        </w:rPr>
        <w:t xml:space="preserve">לשים לב להבדל בין </w:t>
      </w:r>
      <w:r w:rsidRPr="002A1FC6">
        <w:rPr>
          <w:rFonts w:hint="cs"/>
          <w:b/>
          <w:bCs/>
          <w:rtl/>
        </w:rPr>
        <w:t>"אמר רבא"</w:t>
      </w:r>
      <w:r>
        <w:rPr>
          <w:rFonts w:hint="cs"/>
          <w:rtl/>
        </w:rPr>
        <w:t xml:space="preserve"> (ציטוט </w:t>
      </w:r>
      <w:proofErr w:type="spellStart"/>
      <w:r>
        <w:rPr>
          <w:rFonts w:hint="cs"/>
          <w:rtl/>
        </w:rPr>
        <w:t>אמיתי</w:t>
      </w:r>
      <w:proofErr w:type="spellEnd"/>
      <w:r>
        <w:rPr>
          <w:rFonts w:hint="cs"/>
          <w:rtl/>
        </w:rPr>
        <w:t xml:space="preserve"> מפיו של רבא) לבין </w:t>
      </w:r>
      <w:r w:rsidRPr="002A1FC6">
        <w:rPr>
          <w:rFonts w:hint="cs"/>
          <w:b/>
          <w:bCs/>
          <w:rtl/>
        </w:rPr>
        <w:t xml:space="preserve">"ורמי בר </w:t>
      </w:r>
      <w:proofErr w:type="spellStart"/>
      <w:r w:rsidRPr="002A1FC6">
        <w:rPr>
          <w:rFonts w:hint="cs"/>
          <w:b/>
          <w:bCs/>
          <w:rtl/>
        </w:rPr>
        <w:t>חמא</w:t>
      </w:r>
      <w:proofErr w:type="spellEnd"/>
      <w:r w:rsidRPr="002A1FC6">
        <w:rPr>
          <w:rFonts w:hint="cs"/>
          <w:b/>
          <w:bCs/>
          <w:rtl/>
        </w:rPr>
        <w:t>?"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שהוא מה שרמי בר </w:t>
      </w:r>
      <w:proofErr w:type="spellStart"/>
      <w:r>
        <w:rPr>
          <w:rFonts w:hint="cs"/>
          <w:rtl/>
        </w:rPr>
        <w:t>חמא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u w:val="single"/>
          <w:rtl/>
        </w:rPr>
        <w:t>יכול היה לענות</w:t>
      </w:r>
      <w:r>
        <w:rPr>
          <w:rFonts w:hint="cs"/>
          <w:rtl/>
        </w:rPr>
        <w:t xml:space="preserve"> (אבל לא באמת ענה, אלא הסתמא-</w:t>
      </w:r>
      <w:proofErr w:type="spellStart"/>
      <w:r>
        <w:rPr>
          <w:rFonts w:hint="cs"/>
          <w:rtl/>
        </w:rPr>
        <w:t>דגמרא</w:t>
      </w:r>
      <w:proofErr w:type="spellEnd"/>
      <w:r>
        <w:rPr>
          <w:rFonts w:hint="cs"/>
          <w:rtl/>
        </w:rPr>
        <w:t>, רובד העריכה, עונה זאת במקומו).</w:t>
      </w:r>
    </w:p>
    <w:p w:rsidR="002A1FC6" w:rsidRDefault="002A1FC6" w:rsidP="00322CE8">
      <w:pPr>
        <w:bidi/>
        <w:jc w:val="both"/>
        <w:rPr>
          <w:rFonts w:hint="cs"/>
          <w:rtl/>
        </w:rPr>
      </w:pPr>
    </w:p>
    <w:p w:rsidR="00990236" w:rsidRPr="00322CE8" w:rsidRDefault="00990236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>עמוד 1</w:t>
      </w:r>
      <w:r w:rsidRPr="00322CE8">
        <w:rPr>
          <w:rFonts w:cs="Guttman Keren" w:hint="cs"/>
          <w:b/>
          <w:bCs/>
          <w:rtl/>
        </w:rPr>
        <w:t>8</w:t>
      </w:r>
    </w:p>
    <w:p w:rsidR="00990236" w:rsidRDefault="00990236" w:rsidP="00322CE8">
      <w:pPr>
        <w:bidi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ניסיון להכריע לפי תקדימים, ממש כמו במשפט המודרני.</w:t>
      </w:r>
    </w:p>
    <w:p w:rsidR="00990236" w:rsidRDefault="00990236" w:rsidP="00322CE8">
      <w:pPr>
        <w:bidi/>
        <w:jc w:val="both"/>
        <w:rPr>
          <w:rFonts w:hint="cs"/>
          <w:rtl/>
        </w:rPr>
      </w:pPr>
    </w:p>
    <w:p w:rsidR="00990236" w:rsidRDefault="00990236" w:rsidP="00B730F8">
      <w:pPr>
        <w:bidi/>
        <w:ind w:left="296" w:hanging="29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דפוס חוזר בשני התקדימים הראשונים: לכאורה יש מסקנה מהתקדים, אבל נמצא שוני ("שאני התם") בין הדוגמה לבין המקרה בסוגיה. בעמוד זה </w:t>
      </w:r>
      <w:r>
        <w:rPr>
          <w:rtl/>
        </w:rPr>
        <w:t>–</w:t>
      </w:r>
      <w:r>
        <w:rPr>
          <w:rFonts w:hint="cs"/>
          <w:rtl/>
        </w:rPr>
        <w:t xml:space="preserve"> לכאורה יש לשלם במקרה של "זה נהנה וזה לא חסר". אבל יש שוני, ובמקרה שבדוגמה </w:t>
      </w:r>
      <w:r w:rsidRPr="00E77113">
        <w:rPr>
          <w:rFonts w:hint="cs"/>
          <w:b/>
          <w:bCs/>
          <w:rtl/>
        </w:rPr>
        <w:t>משלמים על הנזק</w:t>
      </w:r>
      <w:r>
        <w:rPr>
          <w:rFonts w:hint="cs"/>
          <w:rtl/>
        </w:rPr>
        <w:t xml:space="preserve"> שבהיקף המיותר של הגדר, ולא על ההנאה.</w:t>
      </w:r>
    </w:p>
    <w:p w:rsidR="007B5C97" w:rsidRDefault="007B5C97" w:rsidP="00322CE8">
      <w:pPr>
        <w:bidi/>
        <w:jc w:val="both"/>
        <w:rPr>
          <w:rFonts w:hint="cs"/>
          <w:rtl/>
        </w:rPr>
      </w:pPr>
    </w:p>
    <w:p w:rsidR="007B5C97" w:rsidRPr="00322CE8" w:rsidRDefault="007B5C97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>עמוד 20</w:t>
      </w:r>
    </w:p>
    <w:p w:rsidR="007B5C97" w:rsidRDefault="007B5C97" w:rsidP="00B730F8">
      <w:pPr>
        <w:bidi/>
        <w:ind w:left="206" w:hanging="20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כאן יש ניסיון </w:t>
      </w:r>
      <w:r w:rsidRPr="007B5C97">
        <w:rPr>
          <w:rFonts w:hint="cs"/>
          <w:b/>
          <w:bCs/>
          <w:rtl/>
        </w:rPr>
        <w:t>ללמוד מאותו המקרה את המסקנה ההפוכה</w:t>
      </w:r>
      <w:r>
        <w:rPr>
          <w:rFonts w:hint="cs"/>
          <w:rtl/>
        </w:rPr>
        <w:t xml:space="preserve">: אין צורך לשלם במקרה של "זה נהנה וזה לא חסר". אבל מסתבר שיש שוני, ובמקרה שבדוגמה </w:t>
      </w:r>
      <w:r w:rsidRPr="00E77113">
        <w:rPr>
          <w:rFonts w:hint="cs"/>
          <w:b/>
          <w:bCs/>
          <w:rtl/>
        </w:rPr>
        <w:t xml:space="preserve">לא משלמים, כי לא </w:t>
      </w:r>
      <w:proofErr w:type="spellStart"/>
      <w:r w:rsidRPr="00E77113">
        <w:rPr>
          <w:rFonts w:hint="cs"/>
          <w:b/>
          <w:bCs/>
          <w:rtl/>
        </w:rPr>
        <w:t>היתה</w:t>
      </w:r>
      <w:proofErr w:type="spellEnd"/>
      <w:r w:rsidRPr="00E77113">
        <w:rPr>
          <w:rFonts w:hint="cs"/>
          <w:b/>
          <w:bCs/>
          <w:rtl/>
        </w:rPr>
        <w:t xml:space="preserve"> הנאה</w:t>
      </w:r>
      <w:r>
        <w:rPr>
          <w:rFonts w:hint="cs"/>
          <w:rtl/>
        </w:rPr>
        <w:t xml:space="preserve"> (המוקף אינו זקוק לגדר).</w:t>
      </w:r>
    </w:p>
    <w:p w:rsidR="00E77113" w:rsidRDefault="00E77113" w:rsidP="00322CE8">
      <w:pPr>
        <w:bidi/>
        <w:jc w:val="both"/>
        <w:rPr>
          <w:rFonts w:hint="cs"/>
          <w:rtl/>
        </w:rPr>
      </w:pPr>
    </w:p>
    <w:p w:rsidR="00E77113" w:rsidRPr="00322CE8" w:rsidRDefault="00E77113" w:rsidP="00322CE8">
      <w:pPr>
        <w:bidi/>
        <w:jc w:val="both"/>
        <w:rPr>
          <w:rFonts w:cs="Guttman Keren" w:hint="cs"/>
          <w:b/>
          <w:bCs/>
          <w:rtl/>
        </w:rPr>
      </w:pPr>
      <w:r w:rsidRPr="00322CE8">
        <w:rPr>
          <w:rFonts w:cs="Guttman Keren" w:hint="cs"/>
          <w:b/>
          <w:bCs/>
          <w:rtl/>
        </w:rPr>
        <w:t>עמוד 22</w:t>
      </w:r>
    </w:p>
    <w:p w:rsidR="00E77113" w:rsidRDefault="00E77113" w:rsidP="00B730F8">
      <w:pPr>
        <w:bidi/>
        <w:ind w:left="206" w:hanging="206"/>
        <w:jc w:val="both"/>
        <w:rPr>
          <w:rFonts w:hint="cs"/>
          <w:rtl/>
        </w:rPr>
      </w:pPr>
      <w:r>
        <w:rPr>
          <w:rFonts w:hint="cs"/>
        </w:rPr>
        <w:sym w:font="Wingdings" w:char="F059"/>
      </w:r>
      <w:r>
        <w:rPr>
          <w:rFonts w:hint="cs"/>
          <w:rtl/>
        </w:rPr>
        <w:t xml:space="preserve"> </w:t>
      </w:r>
      <w:r w:rsidRPr="002F7996">
        <w:rPr>
          <w:rFonts w:hint="cs"/>
          <w:b/>
          <w:bCs/>
          <w:rtl/>
        </w:rPr>
        <w:t xml:space="preserve">בעמוד זה </w:t>
      </w:r>
      <w:bookmarkStart w:id="0" w:name="_GoBack"/>
      <w:bookmarkEnd w:id="0"/>
      <w:r w:rsidRPr="002F7996">
        <w:rPr>
          <w:rFonts w:hint="cs"/>
          <w:b/>
          <w:bCs/>
          <w:rtl/>
        </w:rPr>
        <w:t>יש שני מהלכים</w:t>
      </w:r>
      <w:r>
        <w:rPr>
          <w:rFonts w:hint="cs"/>
          <w:rtl/>
        </w:rPr>
        <w:t xml:space="preserve"> (עם מסקנות הפוכות, כמו קודם: פעם "פטור" ופעם "חייב"): במהלך הראשון</w:t>
      </w:r>
      <w:r w:rsidR="002F7996">
        <w:rPr>
          <w:rFonts w:hint="cs"/>
          <w:rtl/>
        </w:rPr>
        <w:t xml:space="preserve"> המסקנה היא "פטור", </w:t>
      </w:r>
      <w:r w:rsidR="00B670DD">
        <w:rPr>
          <w:rFonts w:hint="cs"/>
          <w:rtl/>
        </w:rPr>
        <w:t xml:space="preserve">אבל השוני בין המקרים הוא שכאן </w:t>
      </w:r>
      <w:r w:rsidR="002F7996">
        <w:rPr>
          <w:rFonts w:hint="cs"/>
          <w:rtl/>
        </w:rPr>
        <w:t xml:space="preserve">אין הנאה, כי בעל העלייה לא בדיוק גר בבית שאינו שלו </w:t>
      </w:r>
      <w:r w:rsidR="002F7996">
        <w:rPr>
          <w:rtl/>
        </w:rPr>
        <w:t>–</w:t>
      </w:r>
      <w:r w:rsidR="002F7996">
        <w:rPr>
          <w:rFonts w:hint="cs"/>
          <w:rtl/>
        </w:rPr>
        <w:t xml:space="preserve"> ונהנה ממנו </w:t>
      </w:r>
      <w:r w:rsidR="002F7996">
        <w:rPr>
          <w:rtl/>
        </w:rPr>
        <w:t>–</w:t>
      </w:r>
      <w:r w:rsidR="002F7996">
        <w:rPr>
          <w:rFonts w:hint="cs"/>
          <w:rtl/>
        </w:rPr>
        <w:t xml:space="preserve"> אלא הוא גר בבית שמשועבד לו, עד שישולמו הוצאות הבנייה שלו. </w:t>
      </w:r>
      <w:r w:rsidR="00B670DD">
        <w:rPr>
          <w:rFonts w:hint="cs"/>
          <w:rtl/>
        </w:rPr>
        <w:t>כמו שאמרנו</w:t>
      </w:r>
      <w:r w:rsidR="002F7996">
        <w:rPr>
          <w:rFonts w:hint="cs"/>
          <w:rtl/>
        </w:rPr>
        <w:t xml:space="preserve">, </w:t>
      </w:r>
      <w:r w:rsidR="002F7996" w:rsidRPr="00B670DD">
        <w:rPr>
          <w:rFonts w:hint="cs"/>
          <w:b/>
          <w:bCs/>
          <w:rtl/>
        </w:rPr>
        <w:t xml:space="preserve">אין הנאה </w:t>
      </w:r>
      <w:r w:rsidR="002F7996" w:rsidRPr="00B670DD">
        <w:rPr>
          <w:b/>
          <w:bCs/>
          <w:rtl/>
        </w:rPr>
        <w:t>–</w:t>
      </w:r>
      <w:r w:rsidR="002F7996" w:rsidRPr="00B670DD">
        <w:rPr>
          <w:rFonts w:hint="cs"/>
          <w:b/>
          <w:bCs/>
          <w:rtl/>
        </w:rPr>
        <w:t xml:space="preserve"> לא משלמים</w:t>
      </w:r>
      <w:r w:rsidR="002F7996">
        <w:rPr>
          <w:rFonts w:hint="cs"/>
          <w:rtl/>
        </w:rPr>
        <w:t>.</w:t>
      </w:r>
    </w:p>
    <w:p w:rsidR="00497608" w:rsidRDefault="002F7996" w:rsidP="00B730F8">
      <w:pPr>
        <w:bidi/>
        <w:ind w:left="206"/>
        <w:jc w:val="both"/>
        <w:rPr>
          <w:rFonts w:hint="cs"/>
          <w:rtl/>
        </w:rPr>
      </w:pPr>
      <w:r>
        <w:rPr>
          <w:rFonts w:hint="cs"/>
          <w:rtl/>
        </w:rPr>
        <w:t xml:space="preserve">במהלך השני, למרות פסיקתו של רבי יהודה שבמקרה כזה כן משלמים, (ולכן לכאורה הפסיקה היא "חייב") הגמרא טוענת שהתשלום הזה </w:t>
      </w:r>
      <w:r w:rsidRPr="00B670DD">
        <w:rPr>
          <w:rFonts w:hint="cs"/>
          <w:b/>
          <w:bCs/>
          <w:rtl/>
        </w:rPr>
        <w:t>אינו על ההנאה, אלא על הנזק</w:t>
      </w:r>
      <w:r>
        <w:rPr>
          <w:rFonts w:hint="cs"/>
          <w:rtl/>
        </w:rPr>
        <w:t xml:space="preserve"> שגרם בעל העלייה, בכך שגר בבית והשחיר את קירותיו, גרם לו לבלאי.</w:t>
      </w:r>
    </w:p>
    <w:sectPr w:rsidR="00497608" w:rsidSect="004F5C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auto"/>
    <w:pitch w:val="variable"/>
    <w:sig w:usb0="00000803" w:usb1="00000000" w:usb2="00000000" w:usb3="00000000" w:csb0="00000021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9A"/>
    <w:rsid w:val="00056408"/>
    <w:rsid w:val="001F499A"/>
    <w:rsid w:val="00213CA2"/>
    <w:rsid w:val="00237335"/>
    <w:rsid w:val="002A1FC6"/>
    <w:rsid w:val="002B4A5C"/>
    <w:rsid w:val="002F7996"/>
    <w:rsid w:val="003120EF"/>
    <w:rsid w:val="00322CE8"/>
    <w:rsid w:val="00497608"/>
    <w:rsid w:val="004F5C90"/>
    <w:rsid w:val="006E4E39"/>
    <w:rsid w:val="006F751C"/>
    <w:rsid w:val="00765CC6"/>
    <w:rsid w:val="007A6D90"/>
    <w:rsid w:val="007B5C97"/>
    <w:rsid w:val="00990236"/>
    <w:rsid w:val="00B670DD"/>
    <w:rsid w:val="00B730F8"/>
    <w:rsid w:val="00CE4D3F"/>
    <w:rsid w:val="00E7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396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Yoram Galili</dc:creator>
  <cp:lastModifiedBy>Yoram Galili</cp:lastModifiedBy>
  <cp:revision>18</cp:revision>
  <cp:lastPrinted>2017-10-02T04:19:00Z</cp:lastPrinted>
  <dcterms:created xsi:type="dcterms:W3CDTF">2017-10-01T16:26:00Z</dcterms:created>
  <dcterms:modified xsi:type="dcterms:W3CDTF">2017-10-02T04:20:00Z</dcterms:modified>
</cp:coreProperties>
</file>