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5000" w:type="pct"/>
        <w:jc w:val="center"/>
        <w:shd w:val="clear" w:color="auto" w:fill="FFFFFF"/>
        <w:tblCellMar>
          <w:left w:w="0" w:type="dxa"/>
          <w:right w:w="0" w:type="dxa"/>
        </w:tblCellMar>
        <w:tblLook w:val="04A0" w:firstRow="1" w:lastRow="0" w:firstColumn="1" w:lastColumn="0" w:noHBand="0" w:noVBand="1"/>
      </w:tblPr>
      <w:tblGrid>
        <w:gridCol w:w="8306"/>
      </w:tblGrid>
      <w:tr w:rsidR="00056166" w:rsidRPr="00056166" w:rsidTr="00056166">
        <w:trPr>
          <w:jc w:val="center"/>
        </w:trPr>
        <w:tc>
          <w:tcPr>
            <w:tcW w:w="0" w:type="auto"/>
            <w:shd w:val="clear" w:color="auto" w:fill="FFFFFF"/>
            <w:hideMark/>
          </w:tcPr>
          <w:tbl>
            <w:tblPr>
              <w:tblpPr w:leftFromText="45" w:rightFromText="45" w:vertAnchor="text"/>
              <w:bidiVisual/>
              <w:tblW w:w="5000" w:type="pct"/>
              <w:tblCellMar>
                <w:left w:w="0" w:type="dxa"/>
                <w:right w:w="0" w:type="dxa"/>
              </w:tblCellMar>
              <w:tblLook w:val="04A0" w:firstRow="1" w:lastRow="0" w:firstColumn="1" w:lastColumn="0" w:noHBand="0" w:noVBand="1"/>
            </w:tblPr>
            <w:tblGrid>
              <w:gridCol w:w="7806"/>
              <w:gridCol w:w="500"/>
            </w:tblGrid>
            <w:tr w:rsidR="00056166" w:rsidRPr="00056166">
              <w:tc>
                <w:tcPr>
                  <w:tcW w:w="0" w:type="auto"/>
                  <w:hideMark/>
                </w:tcPr>
                <w:tbl>
                  <w:tblPr>
                    <w:tblpPr w:leftFromText="45" w:rightFromText="45" w:vertAnchor="text" w:tblpXSpec="right" w:tblpYSpec="center"/>
                    <w:bidiVisual/>
                    <w:tblW w:w="7800" w:type="dxa"/>
                    <w:tblCellMar>
                      <w:left w:w="0" w:type="dxa"/>
                      <w:right w:w="0" w:type="dxa"/>
                    </w:tblCellMar>
                    <w:tblLook w:val="04A0" w:firstRow="1" w:lastRow="0" w:firstColumn="1" w:lastColumn="0" w:noHBand="0" w:noVBand="1"/>
                  </w:tblPr>
                  <w:tblGrid>
                    <w:gridCol w:w="7800"/>
                    <w:gridCol w:w="6"/>
                  </w:tblGrid>
                  <w:tr w:rsidR="00056166" w:rsidRPr="00056166">
                    <w:trPr>
                      <w:gridAfter w:val="1"/>
                    </w:trPr>
                    <w:tc>
                      <w:tcPr>
                        <w:tcW w:w="7800" w:type="dxa"/>
                        <w:hideMark/>
                      </w:tcPr>
                      <w:tbl>
                        <w:tblPr>
                          <w:tblpPr w:leftFromText="45" w:rightFromText="45" w:vertAnchor="text" w:tblpXSpec="right" w:tblpYSpec="center"/>
                          <w:bidiVisual/>
                          <w:tblW w:w="7800" w:type="dxa"/>
                          <w:tblCellMar>
                            <w:left w:w="0" w:type="dxa"/>
                            <w:right w:w="0" w:type="dxa"/>
                          </w:tblCellMar>
                          <w:tblLook w:val="04A0" w:firstRow="1" w:lastRow="0" w:firstColumn="1" w:lastColumn="0" w:noHBand="0" w:noVBand="1"/>
                        </w:tblPr>
                        <w:tblGrid>
                          <w:gridCol w:w="7800"/>
                        </w:tblGrid>
                        <w:tr w:rsidR="00056166" w:rsidRPr="00056166">
                          <w:tc>
                            <w:tcPr>
                              <w:tcW w:w="0" w:type="auto"/>
                              <w:vAlign w:val="center"/>
                              <w:hideMark/>
                            </w:tcPr>
                            <w:p w:rsidR="00056166" w:rsidRPr="00056166" w:rsidRDefault="00056166" w:rsidP="00056166">
                              <w:pPr>
                                <w:bidi/>
                                <w:spacing w:after="0" w:line="240" w:lineRule="auto"/>
                                <w:jc w:val="left"/>
                                <w:rPr>
                                  <w:rFonts w:ascii="Times New Roman" w:eastAsia="Times New Roman" w:hAnsi="Times New Roman" w:cs="Times New Roman"/>
                                </w:rPr>
                              </w:pPr>
                              <w:r>
                                <w:rPr>
                                  <w:rFonts w:ascii="Arial" w:eastAsia="Times New Roman" w:hAnsi="Arial" w:cs="Arial"/>
                                  <w:b/>
                                  <w:bCs/>
                                  <w:color w:val="8B0000"/>
                                  <w:sz w:val="28"/>
                                  <w:szCs w:val="28"/>
                                </w:rPr>
                                <w:t xml:space="preserve"> </w:t>
                              </w:r>
                              <w:r w:rsidRPr="00056166">
                                <w:rPr>
                                  <w:rFonts w:ascii="Arial" w:eastAsia="Times New Roman" w:hAnsi="Arial" w:cs="Arial"/>
                                  <w:b/>
                                  <w:bCs/>
                                  <w:color w:val="8B0000"/>
                                  <w:sz w:val="28"/>
                                  <w:szCs w:val="28"/>
                                </w:rPr>
                                <w:t xml:space="preserve">2. </w:t>
                              </w:r>
                              <w:r w:rsidRPr="00056166">
                                <w:rPr>
                                  <w:rFonts w:ascii="Arial" w:eastAsia="Times New Roman" w:hAnsi="Arial" w:cs="Arial"/>
                                  <w:b/>
                                  <w:bCs/>
                                  <w:color w:val="8B0000"/>
                                  <w:sz w:val="28"/>
                                  <w:szCs w:val="28"/>
                                  <w:rtl/>
                                </w:rPr>
                                <w:t>אורחות חיים במוסדות החינוך</w:t>
                              </w:r>
                            </w:p>
                          </w:tc>
                        </w:tr>
                        <w:tr w:rsidR="00056166" w:rsidRPr="00056166">
                          <w:tc>
                            <w:tcPr>
                              <w:tcW w:w="0" w:type="auto"/>
                              <w:vAlign w:val="center"/>
                              <w:hideMark/>
                            </w:tcPr>
                            <w:p w:rsidR="00056166" w:rsidRPr="00056166" w:rsidRDefault="00056166" w:rsidP="00056166">
                              <w:pPr>
                                <w:bidi/>
                                <w:spacing w:after="0" w:line="240" w:lineRule="auto"/>
                                <w:jc w:val="left"/>
                                <w:rPr>
                                  <w:rFonts w:ascii="Times New Roman" w:eastAsia="Times New Roman" w:hAnsi="Times New Roman" w:cs="Times New Roman"/>
                                </w:rPr>
                              </w:pPr>
                            </w:p>
                          </w:tc>
                        </w:tr>
                        <w:tr w:rsidR="00056166" w:rsidRPr="00056166">
                          <w:tc>
                            <w:tcPr>
                              <w:tcW w:w="0" w:type="auto"/>
                              <w:vAlign w:val="center"/>
                              <w:hideMark/>
                            </w:tcPr>
                            <w:p w:rsidR="00056166" w:rsidRPr="00056166" w:rsidRDefault="00056166" w:rsidP="00056166">
                              <w:pPr>
                                <w:bidi/>
                                <w:spacing w:after="0" w:line="240" w:lineRule="auto"/>
                                <w:jc w:val="left"/>
                                <w:rPr>
                                  <w:rFonts w:ascii="Times New Roman" w:eastAsia="Times New Roman" w:hAnsi="Times New Roman" w:cs="Times New Roman"/>
                                </w:rPr>
                              </w:pPr>
                              <w:r>
                                <w:rPr>
                                  <w:rFonts w:ascii="Arial" w:eastAsia="Times New Roman" w:hAnsi="Arial" w:cs="Arial"/>
                                  <w:b/>
                                  <w:bCs/>
                                  <w:color w:val="8B0000"/>
                                  <w:sz w:val="26"/>
                                  <w:szCs w:val="26"/>
                                </w:rPr>
                                <w:t xml:space="preserve"> </w:t>
                              </w:r>
                              <w:r w:rsidRPr="00056166">
                                <w:rPr>
                                  <w:rFonts w:ascii="Arial" w:eastAsia="Times New Roman" w:hAnsi="Arial" w:cs="Arial"/>
                                  <w:b/>
                                  <w:bCs/>
                                  <w:color w:val="8B0000"/>
                                  <w:sz w:val="26"/>
                                  <w:szCs w:val="26"/>
                                </w:rPr>
                                <w:t xml:space="preserve">2.1 </w:t>
                              </w:r>
                              <w:r w:rsidRPr="00056166">
                                <w:rPr>
                                  <w:rFonts w:ascii="Arial" w:eastAsia="Times New Roman" w:hAnsi="Arial" w:cs="Arial"/>
                                  <w:b/>
                                  <w:bCs/>
                                  <w:color w:val="8B0000"/>
                                  <w:sz w:val="26"/>
                                  <w:szCs w:val="26"/>
                                  <w:rtl/>
                                </w:rPr>
                                <w:t>אלימות</w:t>
                              </w:r>
                            </w:p>
                          </w:tc>
                        </w:tr>
                        <w:tr w:rsidR="00056166" w:rsidRPr="00056166">
                          <w:tc>
                            <w:tcPr>
                              <w:tcW w:w="0" w:type="auto"/>
                              <w:vAlign w:val="center"/>
                              <w:hideMark/>
                            </w:tcPr>
                            <w:p w:rsidR="00056166" w:rsidRPr="00056166" w:rsidRDefault="00056166" w:rsidP="00056166">
                              <w:pPr>
                                <w:bidi/>
                                <w:spacing w:after="0" w:line="240" w:lineRule="auto"/>
                                <w:jc w:val="left"/>
                                <w:rPr>
                                  <w:rFonts w:ascii="Times New Roman" w:eastAsia="Times New Roman" w:hAnsi="Times New Roman" w:cs="Times New Roman"/>
                                </w:rPr>
                              </w:pPr>
                            </w:p>
                          </w:tc>
                        </w:tr>
                        <w:tr w:rsidR="00056166" w:rsidRPr="00056166">
                          <w:tc>
                            <w:tcPr>
                              <w:tcW w:w="0" w:type="auto"/>
                              <w:vAlign w:val="center"/>
                              <w:hideMark/>
                            </w:tcPr>
                            <w:p w:rsidR="00056166" w:rsidRPr="00056166" w:rsidRDefault="00056166" w:rsidP="00056166">
                              <w:pPr>
                                <w:bidi/>
                                <w:spacing w:after="0" w:line="240" w:lineRule="auto"/>
                                <w:jc w:val="left"/>
                                <w:rPr>
                                  <w:rFonts w:ascii="Times New Roman" w:eastAsia="Times New Roman" w:hAnsi="Times New Roman" w:cs="Times New Roman"/>
                                </w:rPr>
                              </w:pPr>
                              <w:r w:rsidRPr="00056166">
                                <w:rPr>
                                  <w:rFonts w:ascii="Arial" w:eastAsia="Times New Roman" w:hAnsi="Arial" w:cs="Arial"/>
                                  <w:b/>
                                  <w:bCs/>
                                  <w:color w:val="8B0000"/>
                                  <w:sz w:val="23"/>
                                  <w:szCs w:val="23"/>
                                  <w:rtl/>
                                </w:rPr>
                                <w:t>2.1-15</w:t>
                              </w:r>
                              <w:r w:rsidRPr="00056166">
                                <w:rPr>
                                  <w:rFonts w:ascii="Times New Roman" w:eastAsia="Times New Roman" w:hAnsi="Times New Roman" w:cs="Times New Roman"/>
                                </w:rPr>
                                <w:t>  </w:t>
                              </w:r>
                              <w:r w:rsidRPr="00056166">
                                <w:rPr>
                                  <w:rFonts w:ascii="Arial" w:eastAsia="Times New Roman" w:hAnsi="Arial" w:cs="Arial"/>
                                  <w:b/>
                                  <w:bCs/>
                                  <w:color w:val="8B0000"/>
                                  <w:sz w:val="23"/>
                                  <w:szCs w:val="23"/>
                                  <w:rtl/>
                                </w:rPr>
                                <w:t>אקלים חינוכי מיטבי והתמודדות מוסדות חינוך עם אירועי אלימות וסיכון</w:t>
                              </w:r>
                            </w:p>
                          </w:tc>
                        </w:tr>
                        <w:tr w:rsidR="00056166" w:rsidRPr="00056166">
                          <w:tc>
                            <w:tcPr>
                              <w:tcW w:w="0" w:type="auto"/>
                              <w:vAlign w:val="center"/>
                              <w:hideMark/>
                            </w:tcPr>
                            <w:p w:rsidR="00056166" w:rsidRPr="00056166" w:rsidRDefault="00056166" w:rsidP="00056166">
                              <w:pPr>
                                <w:bidi/>
                                <w:spacing w:after="0" w:line="240" w:lineRule="auto"/>
                                <w:jc w:val="left"/>
                                <w:rPr>
                                  <w:rFonts w:ascii="Times New Roman" w:eastAsia="Times New Roman" w:hAnsi="Times New Roman" w:cs="Times New Roman"/>
                                </w:rPr>
                              </w:pPr>
                            </w:p>
                          </w:tc>
                        </w:tr>
                        <w:tr w:rsidR="00056166" w:rsidRPr="00056166">
                          <w:tc>
                            <w:tcPr>
                              <w:tcW w:w="0" w:type="auto"/>
                              <w:hideMark/>
                            </w:tcPr>
                            <w:p w:rsidR="00056166" w:rsidRPr="00056166" w:rsidRDefault="00056166" w:rsidP="00056166">
                              <w:pPr>
                                <w:bidi/>
                                <w:spacing w:after="0" w:line="240" w:lineRule="auto"/>
                                <w:jc w:val="left"/>
                                <w:rPr>
                                  <w:rFonts w:ascii="Times New Roman" w:eastAsia="Times New Roman" w:hAnsi="Times New Roman" w:cs="Times New Roman"/>
                                </w:rPr>
                              </w:pPr>
                            </w:p>
                          </w:tc>
                        </w:tr>
                        <w:tr w:rsidR="00056166" w:rsidRPr="00056166">
                          <w:tc>
                            <w:tcPr>
                              <w:tcW w:w="0" w:type="auto"/>
                              <w:vAlign w:val="center"/>
                              <w:hideMark/>
                            </w:tcPr>
                            <w:p w:rsidR="00056166" w:rsidRPr="00056166" w:rsidRDefault="00056166" w:rsidP="00056166">
                              <w:pPr>
                                <w:bidi/>
                                <w:spacing w:after="0" w:line="240" w:lineRule="auto"/>
                                <w:jc w:val="left"/>
                                <w:rPr>
                                  <w:rFonts w:ascii="Times New Roman" w:eastAsia="Times New Roman" w:hAnsi="Times New Roman" w:cs="Times New Roman"/>
                                  <w:sz w:val="20"/>
                                  <w:szCs w:val="20"/>
                                </w:rPr>
                              </w:pPr>
                            </w:p>
                          </w:tc>
                        </w:tr>
                        <w:tr w:rsidR="00056166" w:rsidRPr="00056166">
                          <w:tc>
                            <w:tcPr>
                              <w:tcW w:w="0" w:type="auto"/>
                              <w:vAlign w:val="center"/>
                              <w:hideMark/>
                            </w:tcPr>
                            <w:p w:rsidR="00056166" w:rsidRPr="00056166" w:rsidRDefault="00056166" w:rsidP="00056166">
                              <w:pPr>
                                <w:bidi/>
                                <w:spacing w:after="0" w:line="240" w:lineRule="auto"/>
                                <w:jc w:val="left"/>
                                <w:rPr>
                                  <w:rFonts w:ascii="Times New Roman" w:eastAsia="Times New Roman" w:hAnsi="Times New Roman" w:cs="Times New Roman"/>
                                </w:rPr>
                              </w:pPr>
                              <w:r w:rsidRPr="00056166">
                                <w:rPr>
                                  <w:rFonts w:ascii="Times New Roman" w:eastAsia="Times New Roman" w:hAnsi="Times New Roman" w:cs="Times New Roman"/>
                                </w:rPr>
                                <w:t> </w:t>
                              </w:r>
                            </w:p>
                          </w:tc>
                        </w:tr>
                      </w:tbl>
                      <w:p w:rsidR="00056166" w:rsidRPr="00056166" w:rsidRDefault="00056166" w:rsidP="00056166">
                        <w:pPr>
                          <w:bidi/>
                          <w:spacing w:after="0" w:line="240" w:lineRule="auto"/>
                          <w:jc w:val="left"/>
                          <w:rPr>
                            <w:rFonts w:ascii="Times New Roman" w:eastAsia="Times New Roman" w:hAnsi="Times New Roman" w:cs="Times New Roman"/>
                          </w:rPr>
                        </w:pPr>
                      </w:p>
                    </w:tc>
                  </w:tr>
                  <w:tr w:rsidR="00056166" w:rsidRPr="00056166">
                    <w:tc>
                      <w:tcPr>
                        <w:tcW w:w="0" w:type="auto"/>
                        <w:gridSpan w:val="2"/>
                        <w:hideMark/>
                      </w:tcPr>
                      <w:p w:rsidR="00056166" w:rsidRPr="00056166" w:rsidRDefault="00056166" w:rsidP="00056166">
                        <w:pPr>
                          <w:bidi/>
                          <w:spacing w:after="0" w:line="240" w:lineRule="auto"/>
                          <w:ind w:left="567" w:hanging="567"/>
                          <w:jc w:val="center"/>
                          <w:outlineLvl w:val="3"/>
                          <w:rPr>
                            <w:rFonts w:ascii="Arial" w:eastAsia="Times New Roman" w:hAnsi="Arial" w:cs="Arial"/>
                            <w:color w:val="000000"/>
                          </w:rPr>
                        </w:pPr>
                        <w:r w:rsidRPr="00056166">
                          <w:rPr>
                            <w:rFonts w:ascii="Arial" w:eastAsia="Times New Roman" w:hAnsi="Arial" w:cs="Arial"/>
                            <w:b/>
                            <w:bCs/>
                            <w:color w:val="FF0000"/>
                            <w:sz w:val="28"/>
                            <w:szCs w:val="28"/>
                            <w:rtl/>
                          </w:rPr>
                          <w:t>הוראה זו הועברה לאתר החדש של חוזרי מנכ"ל</w:t>
                        </w:r>
                      </w:p>
                      <w:p w:rsidR="00056166" w:rsidRPr="00056166" w:rsidRDefault="00056166" w:rsidP="00056166">
                        <w:pPr>
                          <w:bidi/>
                          <w:spacing w:after="0" w:line="280" w:lineRule="atLeast"/>
                          <w:ind w:left="567" w:hanging="567"/>
                          <w:jc w:val="center"/>
                          <w:outlineLvl w:val="2"/>
                          <w:rPr>
                            <w:rFonts w:ascii="Arial" w:eastAsia="Times New Roman" w:hAnsi="Arial" w:cs="Arial"/>
                            <w:b/>
                            <w:bCs/>
                            <w:color w:val="8B0000"/>
                            <w:sz w:val="24"/>
                            <w:szCs w:val="24"/>
                            <w:rtl/>
                          </w:rPr>
                        </w:pPr>
                        <w:hyperlink r:id="rId4" w:history="1">
                          <w:r w:rsidRPr="00056166">
                            <w:rPr>
                              <w:rFonts w:ascii="Arial" w:eastAsia="Times New Roman" w:hAnsi="Arial" w:cs="Arial"/>
                              <w:b/>
                              <w:bCs/>
                              <w:color w:val="8B0000"/>
                              <w:sz w:val="26"/>
                              <w:szCs w:val="26"/>
                              <w:u w:val="single"/>
                              <w:rtl/>
                            </w:rPr>
                            <w:t>למעבר להוראה</w:t>
                          </w:r>
                        </w:hyperlink>
                      </w:p>
                      <w:p w:rsidR="00056166" w:rsidRPr="00056166" w:rsidRDefault="00056166" w:rsidP="00056166">
                        <w:pPr>
                          <w:bidi/>
                          <w:spacing w:after="120" w:line="280" w:lineRule="atLeast"/>
                          <w:ind w:left="567" w:hanging="567"/>
                          <w:jc w:val="center"/>
                          <w:outlineLvl w:val="2"/>
                          <w:rPr>
                            <w:rFonts w:ascii="Arial" w:eastAsia="Times New Roman" w:hAnsi="Arial" w:cs="Arial"/>
                            <w:b/>
                            <w:bCs/>
                            <w:color w:val="8B0000"/>
                            <w:sz w:val="24"/>
                            <w:szCs w:val="24"/>
                            <w:rtl/>
                          </w:rPr>
                        </w:pPr>
                        <w:r w:rsidRPr="00056166">
                          <w:rPr>
                            <w:rFonts w:ascii="Arial" w:eastAsia="Times New Roman" w:hAnsi="Arial" w:cs="Arial"/>
                            <w:b/>
                            <w:bCs/>
                            <w:color w:val="8B0000"/>
                            <w:sz w:val="24"/>
                            <w:szCs w:val="24"/>
                            <w:rtl/>
                          </w:rPr>
                          <w:t> </w:t>
                        </w:r>
                      </w:p>
                      <w:p w:rsidR="00056166" w:rsidRPr="00056166" w:rsidRDefault="00056166" w:rsidP="00056166">
                        <w:pPr>
                          <w:bidi/>
                          <w:spacing w:after="120" w:line="280" w:lineRule="atLeast"/>
                          <w:ind w:left="567" w:hanging="567"/>
                          <w:jc w:val="center"/>
                          <w:outlineLvl w:val="2"/>
                          <w:rPr>
                            <w:rFonts w:ascii="Arial" w:eastAsia="Times New Roman" w:hAnsi="Arial" w:cs="Arial"/>
                            <w:b/>
                            <w:bCs/>
                            <w:color w:val="8B0000"/>
                            <w:sz w:val="24"/>
                            <w:szCs w:val="24"/>
                            <w:rtl/>
                          </w:rPr>
                        </w:pPr>
                        <w:r w:rsidRPr="00056166">
                          <w:rPr>
                            <w:rFonts w:ascii="Arial" w:eastAsia="Times New Roman" w:hAnsi="Arial" w:cs="Arial"/>
                            <w:b/>
                            <w:bCs/>
                            <w:color w:val="FF0000"/>
                            <w:sz w:val="24"/>
                            <w:szCs w:val="24"/>
                            <w:rtl/>
                          </w:rPr>
                          <w:t xml:space="preserve">ההנחיות הקשורות לעישון </w:t>
                        </w:r>
                        <w:proofErr w:type="spellStart"/>
                        <w:r w:rsidRPr="00056166">
                          <w:rPr>
                            <w:rFonts w:ascii="Arial" w:eastAsia="Times New Roman" w:hAnsi="Arial" w:cs="Arial"/>
                            <w:b/>
                            <w:bCs/>
                            <w:color w:val="FF0000"/>
                            <w:sz w:val="24"/>
                            <w:szCs w:val="24"/>
                            <w:rtl/>
                          </w:rPr>
                          <w:t>בס"ק</w:t>
                        </w:r>
                        <w:proofErr w:type="spellEnd"/>
                        <w:r w:rsidRPr="00056166">
                          <w:rPr>
                            <w:rFonts w:ascii="Arial" w:eastAsia="Times New Roman" w:hAnsi="Arial" w:cs="Arial"/>
                            <w:b/>
                            <w:bCs/>
                            <w:color w:val="FF0000"/>
                            <w:sz w:val="24"/>
                            <w:szCs w:val="24"/>
                            <w:rtl/>
                          </w:rPr>
                          <w:t xml:space="preserve"> 2.5 ו- 5.2.2 מבוטלות.</w:t>
                        </w:r>
                      </w:p>
                      <w:p w:rsidR="00056166" w:rsidRPr="00056166" w:rsidRDefault="00056166" w:rsidP="00056166">
                        <w:pPr>
                          <w:bidi/>
                          <w:spacing w:after="120" w:line="280" w:lineRule="atLeast"/>
                          <w:ind w:left="567" w:hanging="567"/>
                          <w:jc w:val="center"/>
                          <w:outlineLvl w:val="2"/>
                          <w:rPr>
                            <w:rFonts w:ascii="Arial" w:eastAsia="Times New Roman" w:hAnsi="Arial" w:cs="Arial"/>
                            <w:b/>
                            <w:bCs/>
                            <w:color w:val="8B0000"/>
                            <w:sz w:val="24"/>
                            <w:szCs w:val="24"/>
                            <w:rtl/>
                          </w:rPr>
                        </w:pPr>
                        <w:r w:rsidRPr="00056166">
                          <w:rPr>
                            <w:rFonts w:ascii="Arial" w:eastAsia="Times New Roman" w:hAnsi="Arial" w:cs="Arial"/>
                            <w:b/>
                            <w:bCs/>
                            <w:color w:val="FF0000"/>
                            <w:sz w:val="24"/>
                            <w:szCs w:val="24"/>
                            <w:rtl/>
                          </w:rPr>
                          <w:t>ההנחיות העוסקות בשתיית אלכוהול תקפות.</w:t>
                        </w:r>
                      </w:p>
                      <w:p w:rsidR="00056166" w:rsidRPr="00056166" w:rsidRDefault="00056166" w:rsidP="00056166">
                        <w:pPr>
                          <w:bidi/>
                          <w:spacing w:after="0" w:line="240" w:lineRule="auto"/>
                          <w:jc w:val="center"/>
                          <w:rPr>
                            <w:rFonts w:ascii="Arial" w:eastAsia="Times New Roman" w:hAnsi="Arial" w:cs="Arial"/>
                            <w:color w:val="000000"/>
                            <w:rtl/>
                          </w:rPr>
                        </w:pPr>
                        <w:hyperlink r:id="rId5" w:history="1">
                          <w:r w:rsidRPr="00056166">
                            <w:rPr>
                              <w:rFonts w:ascii="Arial" w:eastAsia="Times New Roman" w:hAnsi="Arial" w:cs="Arial"/>
                              <w:color w:val="000000"/>
                              <w:sz w:val="24"/>
                              <w:szCs w:val="24"/>
                              <w:u w:val="single"/>
                              <w:rtl/>
                            </w:rPr>
                            <w:t>למעבר להוראה המעודכנת</w:t>
                          </w:r>
                        </w:hyperlink>
                      </w:p>
                      <w:p w:rsidR="00056166" w:rsidRPr="00056166" w:rsidRDefault="00056166" w:rsidP="00056166">
                        <w:pPr>
                          <w:bidi/>
                          <w:spacing w:after="120" w:line="280" w:lineRule="atLeast"/>
                          <w:ind w:left="567" w:hanging="567"/>
                          <w:jc w:val="left"/>
                          <w:outlineLvl w:val="2"/>
                          <w:rPr>
                            <w:rFonts w:ascii="Arial" w:eastAsia="Times New Roman" w:hAnsi="Arial" w:cs="Arial"/>
                            <w:b/>
                            <w:bCs/>
                            <w:color w:val="8B0000"/>
                            <w:sz w:val="24"/>
                            <w:szCs w:val="24"/>
                            <w:rtl/>
                          </w:rPr>
                        </w:pPr>
                        <w:r w:rsidRPr="00056166">
                          <w:rPr>
                            <w:rFonts w:ascii="Arial" w:eastAsia="Times New Roman" w:hAnsi="Arial" w:cs="Arial"/>
                            <w:b/>
                            <w:bCs/>
                            <w:color w:val="8B0000"/>
                            <w:sz w:val="24"/>
                            <w:szCs w:val="24"/>
                            <w:rtl/>
                          </w:rPr>
                          <w:t> </w:t>
                        </w:r>
                      </w:p>
                      <w:p w:rsidR="00056166" w:rsidRPr="00056166" w:rsidRDefault="00056166" w:rsidP="00056166">
                        <w:pPr>
                          <w:bidi/>
                          <w:spacing w:after="120" w:line="280" w:lineRule="atLeast"/>
                          <w:ind w:left="567" w:hanging="567"/>
                          <w:jc w:val="left"/>
                          <w:outlineLvl w:val="2"/>
                          <w:rPr>
                            <w:rFonts w:ascii="Arial" w:eastAsia="Times New Roman" w:hAnsi="Arial" w:cs="Arial"/>
                            <w:b/>
                            <w:bCs/>
                            <w:color w:val="8B0000"/>
                            <w:sz w:val="24"/>
                            <w:szCs w:val="24"/>
                            <w:rtl/>
                          </w:rPr>
                        </w:pPr>
                        <w:r w:rsidRPr="00056166">
                          <w:rPr>
                            <w:rFonts w:ascii="Arial" w:eastAsia="Times New Roman" w:hAnsi="Arial" w:cs="Arial"/>
                            <w:b/>
                            <w:bCs/>
                            <w:color w:val="8B0000"/>
                            <w:sz w:val="24"/>
                            <w:szCs w:val="24"/>
                            <w:rtl/>
                          </w:rPr>
                          <w:t>דבר המנכ"לית</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color w:val="000000"/>
                            <w:rtl/>
                          </w:rPr>
                          <w:t> </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color w:val="000000"/>
                            <w:rtl/>
                          </w:rPr>
                          <w:t>צוותי חינוך יקרים,</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color w:val="000000"/>
                            <w:rtl/>
                          </w:rPr>
                          <w:t>קידום אקלים בית ספרי הוא תהליך ארוך טווח שמטרתו ליצור סביבה בטוחה וערכית החיונית לתהליך ההתפתחות של הלומדים במסגרות החינוך השונות. תהליך זה משקף את התפיסה החינוכית שלפיה עלינו לפעול ליצירת סביבה המאפשרת הכלה וקבלה של האחר, לעודד יצירת אווירה תומכת למידה ופיתוח אחריות אישית וחברתית במהלך רצף היום ולקדם תהליכי שיתוף עם ההורים.</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color w:val="000000"/>
                            <w:rtl/>
                          </w:rPr>
                          <w:t>חוזר זה מגדיר את מחויבותנו לשמור על שלומם וביטחונם של באי המוסד החינוכי: הלומדים, הגננות, הסייעות, המורים ואנשי הצוות. החוזר מציג ראייה מערכתית שלפיה טיפוח כבוד הדדי בין הלומדים לבין הצוות, לצד הגדרת גבולות, מייצרים אווירה תומכת ומאפשרים לכל לומד לבטא בצורה מיטבית את כישוריו, יכולותיו והישגיו ברמה האקדמית, הרגשית, החברתית והערכית, ואף מצמצמים התנהגויות אלימות על פני הרצף החינוכי כולו, מגן הילדים ועד לחטיבה העליונה, בחינוך הרגיל ובחינוך המיוחד.</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color w:val="000000"/>
                            <w:rtl/>
                          </w:rPr>
                          <w:t>המחקרים מצביעים על כך ששילוב בין שני המרכיבים - חיזוק הקשר בין מורים ללומדים תוך היענות לצורכיהם מצד אחד, ויצירת גבולות ברורים והוגנים מצד שני - מאפשר ליצור אקלים בטוח, תחושת מוגנות ואווירה לימודית תומכת למידה. בהתאם לכך חוזר זה מדגיש  את הרכיבים הנדרשים ליצירת אקלים מיטבי כחלק מסדר היום של המוסד החינוכי, יחד עם יצירת קשר בין אישי, ניהול שיח מכבד בין השותפים, למידה רגשית, חברתית וערכית, יצירת מענים מותאמים ללומדים בעלי צרכים ייחודיים והגברת המעורבות החברתית של הלומדים במסגרת החינוכית ובקהילה.</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color w:val="000000"/>
                            <w:rtl/>
                          </w:rPr>
                          <w:t>ובנוסף, מוצגים פרקים המנחים את צוותי החינוך כיצד להתמודד עם אירועי אלימות המתרחשים במוסדות החינוך ומחוצה להם ומדגישים את חשיבותה של פעולה  בהתאם לכללים שנקבעו. הצבת גבולות ברורים והוגנים נועדה לסייע למי שחרג מהם לשמור על עצמו ועל אחרים בסביבתו, למנוע התנהגויות סיכון, לטפל בכל המעורבים בנושא ולאפשר התנהלות תקינה של תהליכי הוראה, למידה והערכה.</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color w:val="000000"/>
                            <w:rtl/>
                          </w:rPr>
                          <w:t>לאור הניסיון, הצרכים שהעליתם בפנינו, המנהלים וצוותי החינוך, במהלך השנים האחרונות מאז פרסום החוזר הקודם בנושא, ובהתאם לתובנות וללקחים שהפקנו מאירועים שבהם טיפלנו, עדכנו את ההנחיות ואת דרכי התגובה וההתמודדות עם אירועים חריגים ואף הוספנו פרקים חדשים המתייחסים לגיל הרך, לחינוך המיוחד, לאלימות מחוץ לכותלי בית הספר, לאלימות ברשת, לשותפות הורים, לטיפול באירועי אלימות שבהם מעורבים הורים ועוד.</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color w:val="000000"/>
                            <w:rtl/>
                          </w:rPr>
                          <w:lastRenderedPageBreak/>
                          <w:t>הדגשנו במהלך  החוזר את חשיבות מנהיגותו של איש החינוך ואת תפקידו כמבוגר משמעותי הנוכח בחיי תלמידיו ואיננו עובר לסדר היום על אירועי אלימות. שכן התעלמות או אי טיפול מידי בכל אירוע אלימות מעבירים מסר של פגיעה בערכו של האחר ועלולים להסלים את  האלימות. </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color w:val="000000"/>
                            <w:rtl/>
                          </w:rPr>
                          <w:t>כאנשי חינוך נמשיך ונטפח אקלים מיטבי ומוגנות  שיתרמו לעיצובה של חברה ערכית, הוגנת ומכבדת.</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color w:val="000000"/>
                            <w:rtl/>
                          </w:rPr>
                          <w:t> </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color w:val="000000"/>
                            <w:rtl/>
                          </w:rPr>
                          <w:t>בכבוד רב</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b/>
                            <w:bCs/>
                            <w:color w:val="000000"/>
                            <w:rtl/>
                          </w:rPr>
                          <w:t>מיכל כהן</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b/>
                            <w:bCs/>
                            <w:color w:val="000000"/>
                            <w:rtl/>
                          </w:rPr>
                          <w:t>המנהלת הכללית</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color w:val="000000"/>
                            <w:rtl/>
                          </w:rPr>
                          <w:t> </w:t>
                        </w:r>
                      </w:p>
                      <w:p w:rsidR="00056166" w:rsidRPr="00056166" w:rsidRDefault="00056166" w:rsidP="00056166">
                        <w:pPr>
                          <w:bidi/>
                          <w:spacing w:after="120" w:line="280" w:lineRule="atLeast"/>
                          <w:jc w:val="left"/>
                          <w:outlineLvl w:val="2"/>
                          <w:rPr>
                            <w:rFonts w:ascii="Arial" w:eastAsia="Times New Roman" w:hAnsi="Arial" w:cs="Arial"/>
                            <w:b/>
                            <w:bCs/>
                            <w:color w:val="8B0000"/>
                            <w:sz w:val="24"/>
                            <w:szCs w:val="24"/>
                            <w:rtl/>
                          </w:rPr>
                        </w:pPr>
                        <w:r w:rsidRPr="00056166">
                          <w:rPr>
                            <w:rFonts w:ascii="Arial" w:eastAsia="Times New Roman" w:hAnsi="Arial" w:cs="Arial"/>
                            <w:b/>
                            <w:bCs/>
                            <w:color w:val="8B0000"/>
                            <w:sz w:val="24"/>
                            <w:szCs w:val="24"/>
                            <w:rtl/>
                          </w:rPr>
                          <w:t>מבוא</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b/>
                            <w:bCs/>
                            <w:color w:val="000000"/>
                            <w:rtl/>
                          </w:rPr>
                          <w:t>תמצית</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color w:val="000000"/>
                            <w:rtl/>
                          </w:rPr>
                          <w:t>החוזר המעודכן "קידום אקלים בטוח והתמודדות עם אירועי אלימות במוסדות החינוך" מרחיב את היריעה ומגדיר את סמכויות הצוות החינוכי בנושאים נוספים על אלה שהופיעו בחוזרים קודמים, כמו אירועי אלימות המתרחשים מחוץ למוסד החינוכי או בהסעות, פגיעה בבעלי-חיים ויצירת שותפות עם ההורים. החוזר כולל גם פרקים נפרדים העוסקים בתלמידים בחינוך המיוחד ובגני הילדים.</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color w:val="000000"/>
                            <w:rtl/>
                          </w:rPr>
                          <w:t>להלן פירוט הנושאים העיקריים שהחוזר עוסק בהם:</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b/>
                            <w:bCs/>
                            <w:color w:val="000000"/>
                            <w:rtl/>
                          </w:rPr>
                          <w:t>פרק א': "היערכות חינוכית מערכתית כוללת ליצירת אקלים בית-ספרי בטוח ולצמצום האלימות"</w:t>
                        </w:r>
                        <w:r w:rsidRPr="00056166">
                          <w:rPr>
                            <w:rFonts w:ascii="Arial" w:eastAsia="Times New Roman" w:hAnsi="Arial" w:cs="Arial"/>
                            <w:color w:val="000000"/>
                            <w:rtl/>
                          </w:rPr>
                          <w:t> – כולל הנחיות לבניית תכנית לאקלים בטוח בבית הספר על פי סטנדרטים של אקלים. הפרק מגדיר את המרכיבים שיש לכלול בתכנית לבניית אקלים בטוח, ואלו עיקריהם: בניית חזון בית-ספרי וגיוס הצוות החינוכי למימושו, איסוף נתונים, בניית תכניות התערבות, קיום דיאלוג בין המורים לתלמידים והקשבה לצורכיהם, לרבות מתן מענה לתלמידים בעלי צרכים ייחודיים, שיתוף תלמידים, הורים וגורמים בקהילה בבניית התכנית לקידום אקלים בטוח ועידוד מעורבות חברתית של תלמידים בכיתה, בבית הספר בקהילה ולמען הסביבה.</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b/>
                            <w:bCs/>
                            <w:color w:val="000000"/>
                            <w:rtl/>
                          </w:rPr>
                          <w:t>פרק ב': "אורחות חיים – התנהלות בשגרה"</w:t>
                        </w:r>
                        <w:r w:rsidRPr="00056166">
                          <w:rPr>
                            <w:rFonts w:ascii="Arial" w:eastAsia="Times New Roman" w:hAnsi="Arial" w:cs="Arial"/>
                            <w:color w:val="000000"/>
                            <w:rtl/>
                          </w:rPr>
                          <w:t> – עוסק באורחות החיים בבית הספר ובהקפדה על כללי המשמעת, בניית תקנון, הנחיות להשעיה מבית הספר וטיפול באירועי עישון ובאירועי שתיית אלכוהול או הבאתו למסגרת החינוכית.</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color w:val="000000"/>
                            <w:rtl/>
                          </w:rPr>
                          <w:t>הפרק עוסק בצורך בבניית תקנון בכל בתי הספר בהלימה לחוזר המנכ"ל. בחוזר מפורטות ההתנהגויות המצופות מבאי מוסדות החינוך וטווח התגובות האפשרי במקרה של הפרתן. הכללים עוסקים בהופעה הולמת, בהתנהגות ראויה ובהפרות סדר, בנוכחות ובעמידה בזמנים, בטוהר הבחינות, בשמירה על הרכוש הציבורי והפרטי ובאיסור המוחלט על עישון ושתיית אלכוהול בכל מסגרות הפעילות של בית הספר. בחלק זה גם מוגדרות דרכי תגובה שאסור לנקוט בבית הספר בהתאם לחוק זכויות התלמיד.</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b/>
                            <w:bCs/>
                            <w:color w:val="000000"/>
                            <w:rtl/>
                          </w:rPr>
                          <w:t>פרק ג': "התמודדות עם אירועי אלימות"</w:t>
                        </w:r>
                        <w:r w:rsidRPr="00056166">
                          <w:rPr>
                            <w:rFonts w:ascii="Arial" w:eastAsia="Times New Roman" w:hAnsi="Arial" w:cs="Arial"/>
                            <w:color w:val="000000"/>
                            <w:rtl/>
                          </w:rPr>
                          <w:t> – מנסח הנחיות להתמודדות עם אירועי אלימות ותבחינים שיאפשרו לבית הספר להעריך את חומרת האירוע. הטבלאות בפרק זה עוסקות בסוגים שונים של פגיעות בזירות שונות, ומפורט בהן טווח התגובות הכולל פעולות חובה ופעולות לשיקול דעתו של מנהל בית הספר. הטבלאות בפרק כוללות גם הנחיות לדיווח לגורמי הפיקוח ולמשטרה או לרווחה. </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color w:val="000000"/>
                            <w:rtl/>
                          </w:rPr>
                          <w:t xml:space="preserve">בפרק זה קיימת התייחסות מורחבת לאירועי אלימות שהתרחשו מחוץ לכותלי המוסד החינוכי, לפגיעה בבעלי-חיים, לכללי התנהגות בהסעות ולטיפול באירועים חריגים המתרחשים בהסעות. הפרק עוסק בשותפות עם הורים ובטיפול באירועי אלימות שהורים מעורבים בהם וכן בפגיעות </w:t>
                        </w:r>
                        <w:r w:rsidRPr="00056166">
                          <w:rPr>
                            <w:rFonts w:ascii="Arial" w:eastAsia="Times New Roman" w:hAnsi="Arial" w:cs="Arial"/>
                            <w:color w:val="000000"/>
                            <w:rtl/>
                          </w:rPr>
                          <w:lastRenderedPageBreak/>
                          <w:t>שנעשו תוך שימוש בטכנולוגיה ובהיבטים של פגיעה מקוונת. כמו כן יש בפרק התייחסות נפרדת לפגיעת תלמיד במורה ולפגיעת עובדי הוראה בתלמידים ובילדי גן.</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color w:val="000000"/>
                            <w:rtl/>
                          </w:rPr>
                          <w:t>בנוסף לטבלאות הכוללות הנחיות לפעולות בטווח המידי ובטווח הקצר שעל בית הספר לבצע לאחר אירוע אלימות, יש בחוזר הנחיות להתערבות בטווח הארוך בעקבות אירוע אלימות חמור וכן מצוינים בו בעלי התפקידים ואחריותם ביישום החוזר.</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b/>
                            <w:bCs/>
                            <w:color w:val="000000"/>
                            <w:rtl/>
                          </w:rPr>
                          <w:t>פרק ד':</w:t>
                        </w:r>
                        <w:r w:rsidRPr="00056166">
                          <w:rPr>
                            <w:rFonts w:ascii="Arial" w:eastAsia="Times New Roman" w:hAnsi="Arial" w:cs="Arial"/>
                            <w:color w:val="000000"/>
                            <w:rtl/>
                          </w:rPr>
                          <w:t> </w:t>
                        </w:r>
                        <w:r w:rsidRPr="00056166">
                          <w:rPr>
                            <w:rFonts w:ascii="Arial" w:eastAsia="Times New Roman" w:hAnsi="Arial" w:cs="Arial"/>
                            <w:b/>
                            <w:bCs/>
                            <w:color w:val="000000"/>
                            <w:rtl/>
                          </w:rPr>
                          <w:t>"היערכות מערכתית ליצירת אקלים חינוכי בטוח ולמניעת אלימות והתנהגויות לא מותאמות בגן הילדים"</w:t>
                        </w:r>
                        <w:r w:rsidRPr="00056166">
                          <w:rPr>
                            <w:rFonts w:ascii="Arial" w:eastAsia="Times New Roman" w:hAnsi="Arial" w:cs="Arial"/>
                            <w:color w:val="000000"/>
                            <w:rtl/>
                          </w:rPr>
                          <w:t> – עוסק בבניית אקלים בטוח על פי סטנדרטים של אקלים וטיפול באלימות בגיל הגן.</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b/>
                            <w:bCs/>
                            <w:color w:val="000000"/>
                            <w:rtl/>
                          </w:rPr>
                          <w:t>פרק ה': "תלמידים עם צרכים מיוחדים – בשילוב, בכיתות חינוך מיוחד בחינוך הרגיל ובמוסדות החינוך המיוחד</w:t>
                        </w:r>
                        <w:r w:rsidRPr="00056166">
                          <w:rPr>
                            <w:rFonts w:ascii="Arial" w:eastAsia="Times New Roman" w:hAnsi="Arial" w:cs="Arial"/>
                            <w:color w:val="000000"/>
                            <w:rtl/>
                          </w:rPr>
                          <w:t>"</w:t>
                        </w:r>
                        <w:r w:rsidRPr="00056166">
                          <w:rPr>
                            <w:rFonts w:ascii="Arial" w:eastAsia="Times New Roman" w:hAnsi="Arial" w:cs="Arial"/>
                            <w:b/>
                            <w:bCs/>
                            <w:color w:val="000000"/>
                            <w:rtl/>
                          </w:rPr>
                          <w:t> –</w:t>
                        </w:r>
                        <w:r w:rsidRPr="00056166">
                          <w:rPr>
                            <w:rFonts w:ascii="Arial" w:eastAsia="Times New Roman" w:hAnsi="Arial" w:cs="Arial"/>
                            <w:color w:val="000000"/>
                            <w:rtl/>
                          </w:rPr>
                          <w:t> נועד לתת מענה לאוכלוסיית ילדים בעלי צרכים מיוחדים, שהתנהגותם מושפעת ממהות לקותם ומחייבת התייחסות נבדלת המותאמת לרמת תפקודם האישי. הפרק העוסק בחינוך המיוחד נועד לתת בידי אנשי הצוות במסגרת החינוכית עקרונות מנחים ומענה מקצועי ייחודי ומותאם. הפרק חל על תלמידים הלומדים בשילוב אישי (דיפרנציאלי), תלמידים בתכנית השילוב במסגרת החינוכית, תלמידים בכיתות החינוך המיוחד בחינוך הרגיל ותלמידים בבתי ספר לחינוך מיוחד.</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b/>
                            <w:bCs/>
                            <w:color w:val="000000"/>
                            <w:rtl/>
                          </w:rPr>
                          <w:t>התוקף: </w:t>
                        </w:r>
                        <w:r w:rsidRPr="00056166">
                          <w:rPr>
                            <w:rFonts w:ascii="Arial" w:eastAsia="Times New Roman" w:hAnsi="Arial" w:cs="Arial"/>
                            <w:color w:val="000000"/>
                            <w:rtl/>
                          </w:rPr>
                          <w:t>החל מ-1 באפריל 2015.</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b/>
                            <w:bCs/>
                            <w:color w:val="000000"/>
                            <w:rtl/>
                          </w:rPr>
                          <w:t>התחולה: </w:t>
                        </w:r>
                        <w:r w:rsidRPr="00056166">
                          <w:rPr>
                            <w:rFonts w:ascii="Arial" w:eastAsia="Times New Roman" w:hAnsi="Arial" w:cs="Arial"/>
                            <w:color w:val="000000"/>
                            <w:rtl/>
                          </w:rPr>
                          <w:t>כלל מערכת החינוך.</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b/>
                            <w:bCs/>
                            <w:color w:val="000000"/>
                            <w:rtl/>
                          </w:rPr>
                          <w:t>הסטטוס: </w:t>
                        </w:r>
                        <w:r w:rsidRPr="00056166">
                          <w:rPr>
                            <w:rFonts w:ascii="Arial" w:eastAsia="Times New Roman" w:hAnsi="Arial" w:cs="Arial"/>
                            <w:color w:val="000000"/>
                            <w:rtl/>
                          </w:rPr>
                          <w:t>החלפה.</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b/>
                            <w:bCs/>
                            <w:color w:val="000000"/>
                            <w:rtl/>
                          </w:rPr>
                          <w:t>חוזרים קודמים באותו נושא</w:t>
                        </w:r>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t>-      סעיף 2.1-12 בחוזר הוראות הקבע תשע/1(א), "קידום אקלים בטוח והתמודדות עם אירועי אלימות במוסדות חינוך"– </w:t>
                        </w:r>
                        <w:r w:rsidRPr="00056166">
                          <w:rPr>
                            <w:rFonts w:ascii="Arial" w:eastAsia="Times New Roman" w:hAnsi="Arial" w:cs="Arial"/>
                            <w:b/>
                            <w:bCs/>
                            <w:color w:val="000000"/>
                            <w:rtl/>
                          </w:rPr>
                          <w:t>מבוטל</w:t>
                        </w:r>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t>-     סעיף 2.4-9 בחוזר הוראות הקבע עב/6(א), </w:t>
                        </w:r>
                        <w:hyperlink r:id="rId6" w:history="1">
                          <w:r w:rsidRPr="00056166">
                            <w:rPr>
                              <w:rFonts w:ascii="Arial" w:eastAsia="Times New Roman" w:hAnsi="Arial" w:cs="Arial"/>
                              <w:color w:val="8F85B4"/>
                              <w:u w:val="single"/>
                              <w:rtl/>
                            </w:rPr>
                            <w:t>"נוהל הרחקה לצמיתות של תלמיד ממוסד חינוך והעברתו למוסד חינוך אחר"</w:t>
                          </w:r>
                        </w:hyperlink>
                        <w:r w:rsidRPr="00056166">
                          <w:rPr>
                            <w:rFonts w:ascii="Arial" w:eastAsia="Times New Roman" w:hAnsi="Arial" w:cs="Arial"/>
                            <w:color w:val="000000"/>
                            <w:rtl/>
                          </w:rPr>
                          <w:t> – </w:t>
                        </w:r>
                        <w:r w:rsidRPr="00056166">
                          <w:rPr>
                            <w:rFonts w:ascii="Arial" w:eastAsia="Times New Roman" w:hAnsi="Arial" w:cs="Arial"/>
                            <w:b/>
                            <w:bCs/>
                            <w:color w:val="000000"/>
                            <w:rtl/>
                          </w:rPr>
                          <w:t>בתוקף</w:t>
                        </w:r>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t xml:space="preserve">-     סעיף 2.1-7 בחוזר הוראות הקבע </w:t>
                        </w:r>
                        <w:proofErr w:type="spellStart"/>
                        <w:r w:rsidRPr="00056166">
                          <w:rPr>
                            <w:rFonts w:ascii="Arial" w:eastAsia="Times New Roman" w:hAnsi="Arial" w:cs="Arial"/>
                            <w:color w:val="000000"/>
                            <w:rtl/>
                          </w:rPr>
                          <w:t>סג</w:t>
                        </w:r>
                        <w:proofErr w:type="spellEnd"/>
                        <w:r w:rsidRPr="00056166">
                          <w:rPr>
                            <w:rFonts w:ascii="Arial" w:eastAsia="Times New Roman" w:hAnsi="Arial" w:cs="Arial"/>
                            <w:color w:val="000000"/>
                            <w:rtl/>
                          </w:rPr>
                          <w:t xml:space="preserve">/6(ב), "יצירת אקלים בטוח וצמצום האלימות במוסדות החינוך - המשך לחוזר הוראות הקבע </w:t>
                        </w:r>
                        <w:proofErr w:type="spellStart"/>
                        <w:r w:rsidRPr="00056166">
                          <w:rPr>
                            <w:rFonts w:ascii="Arial" w:eastAsia="Times New Roman" w:hAnsi="Arial" w:cs="Arial"/>
                            <w:color w:val="000000"/>
                            <w:rtl/>
                          </w:rPr>
                          <w:t>סא</w:t>
                        </w:r>
                        <w:proofErr w:type="spellEnd"/>
                        <w:r w:rsidRPr="00056166">
                          <w:rPr>
                            <w:rFonts w:ascii="Arial" w:eastAsia="Times New Roman" w:hAnsi="Arial" w:cs="Arial"/>
                            <w:color w:val="000000"/>
                            <w:rtl/>
                          </w:rPr>
                          <w:t>/4(ג)" –  </w:t>
                        </w:r>
                        <w:r w:rsidRPr="00056166">
                          <w:rPr>
                            <w:rFonts w:ascii="Arial" w:eastAsia="Times New Roman" w:hAnsi="Arial" w:cs="Arial"/>
                            <w:b/>
                            <w:bCs/>
                            <w:color w:val="000000"/>
                            <w:rtl/>
                          </w:rPr>
                          <w:t>מבוטל</w:t>
                        </w:r>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t>-     סעיף 2.1-9 בחוזר הוראות הקבע סד/7(א), "נוהל הטיפול בפגיעת תלמיד בעובד הוראה" – </w:t>
                        </w:r>
                        <w:r w:rsidRPr="00056166">
                          <w:rPr>
                            <w:rFonts w:ascii="Arial" w:eastAsia="Times New Roman" w:hAnsi="Arial" w:cs="Arial"/>
                            <w:b/>
                            <w:bCs/>
                            <w:color w:val="000000"/>
                            <w:rtl/>
                          </w:rPr>
                          <w:t>מבוטל.</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b/>
                            <w:bCs/>
                            <w:color w:val="000000"/>
                            <w:rtl/>
                          </w:rPr>
                          <w:t>חוזרים קודמים בנושאים קשורים</w:t>
                        </w:r>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t>-     סעיף 2.1-14 בחוזר הוראות הקבע עד/10(א), "מניעת אלימות במשפחה – חובת היידוע – הנחיות לעובדי מערכת החינוך בדבר יישום תיקון מס' 7 לחוק למניעת אלימות" – </w:t>
                        </w:r>
                        <w:r w:rsidRPr="00056166">
                          <w:rPr>
                            <w:rFonts w:ascii="Arial" w:eastAsia="Times New Roman" w:hAnsi="Arial" w:cs="Arial"/>
                            <w:b/>
                            <w:bCs/>
                            <w:color w:val="000000"/>
                            <w:rtl/>
                          </w:rPr>
                          <w:t>בתוקף</w:t>
                        </w:r>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t>-     סעיף 1.2-42 ב</w:t>
                        </w:r>
                        <w:hyperlink r:id="rId7" w:history="1">
                          <w:r w:rsidRPr="00056166">
                            <w:rPr>
                              <w:rFonts w:ascii="Arial" w:eastAsia="Times New Roman" w:hAnsi="Arial" w:cs="Arial"/>
                              <w:color w:val="8F85B4"/>
                              <w:u w:val="single"/>
                              <w:rtl/>
                            </w:rPr>
                            <w:t>חוזר הוראות הקבע עד/5(א), "יישום חוק החינוך המיוחד: ועדת שילוב מוסדית, ועדת השמה ביושבה כערר על ועדת שילוב, ועדת השמה וועדת ערר")  – </w:t>
                          </w:r>
                          <w:r w:rsidRPr="00056166">
                            <w:rPr>
                              <w:rFonts w:ascii="Arial" w:eastAsia="Times New Roman" w:hAnsi="Arial" w:cs="Arial"/>
                              <w:b/>
                              <w:bCs/>
                              <w:color w:val="8F85B4"/>
                              <w:u w:val="single"/>
                              <w:rtl/>
                            </w:rPr>
                            <w:t>בתוקף</w:t>
                          </w:r>
                          <w:r w:rsidRPr="00056166">
                            <w:rPr>
                              <w:rFonts w:ascii="Arial" w:eastAsia="Times New Roman" w:hAnsi="Arial" w:cs="Arial"/>
                              <w:color w:val="8F85B4"/>
                              <w:u w:val="single"/>
                              <w:rtl/>
                            </w:rPr>
                            <w:t>   </w:t>
                          </w:r>
                        </w:hyperlink>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t>-     סעיף 9.4-11 בחוזר הוראות הקבע עד/3(ב), "בעלי חיים במוסד החינוכי" – </w:t>
                        </w:r>
                        <w:r w:rsidRPr="00056166">
                          <w:rPr>
                            <w:rFonts w:ascii="Arial" w:eastAsia="Times New Roman" w:hAnsi="Arial" w:cs="Arial"/>
                            <w:b/>
                            <w:bCs/>
                            <w:color w:val="000000"/>
                            <w:rtl/>
                          </w:rPr>
                          <w:t>בתוקף</w:t>
                        </w:r>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t xml:space="preserve">-     סעיף 3.6-11 בחוזר הוראות הקבע </w:t>
                        </w:r>
                        <w:proofErr w:type="spellStart"/>
                        <w:r w:rsidRPr="00056166">
                          <w:rPr>
                            <w:rFonts w:ascii="Arial" w:eastAsia="Times New Roman" w:hAnsi="Arial" w:cs="Arial"/>
                            <w:color w:val="000000"/>
                            <w:rtl/>
                          </w:rPr>
                          <w:t>עג</w:t>
                        </w:r>
                        <w:proofErr w:type="spellEnd"/>
                        <w:r w:rsidRPr="00056166">
                          <w:rPr>
                            <w:rFonts w:ascii="Arial" w:eastAsia="Times New Roman" w:hAnsi="Arial" w:cs="Arial"/>
                            <w:color w:val="000000"/>
                            <w:rtl/>
                          </w:rPr>
                          <w:t>/10(ג), "שילוב ציוד תקשורת והתקני קצה בבתי הספר – השלכות בריאותיות ובטיחותיות" – </w:t>
                        </w:r>
                        <w:r w:rsidRPr="00056166">
                          <w:rPr>
                            <w:rFonts w:ascii="Arial" w:eastAsia="Times New Roman" w:hAnsi="Arial" w:cs="Arial"/>
                            <w:b/>
                            <w:bCs/>
                            <w:color w:val="000000"/>
                            <w:rtl/>
                          </w:rPr>
                          <w:t>בתוקף</w:t>
                        </w:r>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t>-      סעיף 2.3-8 בחוזר הוראות הקבע עד7(א), "הקשר בין מוסדות החינוך ובין הורים פרודים או גרושים" – </w:t>
                        </w:r>
                        <w:r w:rsidRPr="00056166">
                          <w:rPr>
                            <w:rFonts w:ascii="Arial" w:eastAsia="Times New Roman" w:hAnsi="Arial" w:cs="Arial"/>
                            <w:b/>
                            <w:bCs/>
                            <w:color w:val="000000"/>
                            <w:rtl/>
                          </w:rPr>
                          <w:t>בתוקף</w:t>
                        </w:r>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t xml:space="preserve">-     סעיף 4.3-6 בחוזר הודעות תשע/3, "טוהר הבחינות – תוספת לסעיף 13–4.3 בחוזר הוראות הקבע </w:t>
                        </w:r>
                        <w:proofErr w:type="spellStart"/>
                        <w:r w:rsidRPr="00056166">
                          <w:rPr>
                            <w:rFonts w:ascii="Arial" w:eastAsia="Times New Roman" w:hAnsi="Arial" w:cs="Arial"/>
                            <w:color w:val="000000"/>
                            <w:rtl/>
                          </w:rPr>
                          <w:t>תשס</w:t>
                        </w:r>
                        <w:proofErr w:type="spellEnd"/>
                        <w:r w:rsidRPr="00056166">
                          <w:rPr>
                            <w:rFonts w:ascii="Arial" w:eastAsia="Times New Roman" w:hAnsi="Arial" w:cs="Arial"/>
                            <w:color w:val="000000"/>
                            <w:rtl/>
                          </w:rPr>
                          <w:t>/2(א)" – </w:t>
                        </w:r>
                        <w:r w:rsidRPr="00056166">
                          <w:rPr>
                            <w:rFonts w:ascii="Arial" w:eastAsia="Times New Roman" w:hAnsi="Arial" w:cs="Arial"/>
                            <w:b/>
                            <w:bCs/>
                            <w:color w:val="000000"/>
                            <w:rtl/>
                          </w:rPr>
                          <w:t>בתוקף</w:t>
                        </w:r>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lastRenderedPageBreak/>
                          <w:t>-     סעיף 2.1-11 בחוזר הוראות הקבע סט/3(ב), "חובת הדיווח על עברה בקטין על פי   חוק וחקירות תלמידים כקרבנות וכעדים" – </w:t>
                        </w:r>
                        <w:r w:rsidRPr="00056166">
                          <w:rPr>
                            <w:rFonts w:ascii="Arial" w:eastAsia="Times New Roman" w:hAnsi="Arial" w:cs="Arial"/>
                            <w:b/>
                            <w:bCs/>
                            <w:color w:val="000000"/>
                            <w:rtl/>
                          </w:rPr>
                          <w:t>בתוקף</w:t>
                        </w:r>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t xml:space="preserve">-      סעיף 4.3-1 בחוזר הודעות סט/1, "טוהר הבחינות – עדכון סעיף 4.3-13 בחוזר   הוראות הקבע </w:t>
                        </w:r>
                        <w:proofErr w:type="spellStart"/>
                        <w:r w:rsidRPr="00056166">
                          <w:rPr>
                            <w:rFonts w:ascii="Arial" w:eastAsia="Times New Roman" w:hAnsi="Arial" w:cs="Arial"/>
                            <w:color w:val="000000"/>
                            <w:rtl/>
                          </w:rPr>
                          <w:t>תשס</w:t>
                        </w:r>
                        <w:proofErr w:type="spellEnd"/>
                        <w:r w:rsidRPr="00056166">
                          <w:rPr>
                            <w:rFonts w:ascii="Arial" w:eastAsia="Times New Roman" w:hAnsi="Arial" w:cs="Arial"/>
                            <w:color w:val="000000"/>
                            <w:rtl/>
                          </w:rPr>
                          <w:t>/2 (א)" – </w:t>
                        </w:r>
                        <w:r w:rsidRPr="00056166">
                          <w:rPr>
                            <w:rFonts w:ascii="Arial" w:eastAsia="Times New Roman" w:hAnsi="Arial" w:cs="Arial"/>
                            <w:b/>
                            <w:bCs/>
                            <w:color w:val="000000"/>
                            <w:rtl/>
                          </w:rPr>
                          <w:t>בתוקף</w:t>
                        </w:r>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t>-      סעיף 6.6-2 בחוזר הוראות הקבע סח/8(א), "הנוכחות בבית הספר כמרכיב בהערכת הישגים בחינוך העל-יסודי" – </w:t>
                        </w:r>
                        <w:r w:rsidRPr="00056166">
                          <w:rPr>
                            <w:rFonts w:ascii="Arial" w:eastAsia="Times New Roman" w:hAnsi="Arial" w:cs="Arial"/>
                            <w:b/>
                            <w:bCs/>
                            <w:color w:val="000000"/>
                            <w:rtl/>
                          </w:rPr>
                          <w:t>בתוקף</w:t>
                        </w:r>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t>-      סעיף 1.2-37 בחוזר הוראות הקבע סח/3(ד), "תכנית השילוב במסגרת החינוך הרגיל – לטיפול בתלמידים בעלי צרכים מיוחדים הלומדים בכיתות רגילות" – </w:t>
                        </w:r>
                        <w:r w:rsidRPr="00056166">
                          <w:rPr>
                            <w:rFonts w:ascii="Arial" w:eastAsia="Times New Roman" w:hAnsi="Arial" w:cs="Arial"/>
                            <w:b/>
                            <w:bCs/>
                            <w:color w:val="000000"/>
                            <w:rtl/>
                          </w:rPr>
                          <w:t xml:space="preserve">בתוקף, למעט </w:t>
                        </w:r>
                        <w:proofErr w:type="spellStart"/>
                        <w:r w:rsidRPr="00056166">
                          <w:rPr>
                            <w:rFonts w:ascii="Arial" w:eastAsia="Times New Roman" w:hAnsi="Arial" w:cs="Arial"/>
                            <w:b/>
                            <w:bCs/>
                            <w:color w:val="000000"/>
                            <w:rtl/>
                          </w:rPr>
                          <w:t>ס"ק</w:t>
                        </w:r>
                        <w:proofErr w:type="spellEnd"/>
                        <w:r w:rsidRPr="00056166">
                          <w:rPr>
                            <w:rFonts w:ascii="Arial" w:eastAsia="Times New Roman" w:hAnsi="Arial" w:cs="Arial"/>
                            <w:b/>
                            <w:bCs/>
                            <w:color w:val="000000"/>
                            <w:rtl/>
                          </w:rPr>
                          <w:t xml:space="preserve"> 10-2, 14 ו- 16</w:t>
                        </w:r>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t xml:space="preserve">-     סעיף 1.2-36 בחוזר הוראות הקבע </w:t>
                        </w:r>
                        <w:proofErr w:type="spellStart"/>
                        <w:r w:rsidRPr="00056166">
                          <w:rPr>
                            <w:rFonts w:ascii="Arial" w:eastAsia="Times New Roman" w:hAnsi="Arial" w:cs="Arial"/>
                            <w:color w:val="000000"/>
                            <w:rtl/>
                          </w:rPr>
                          <w:t>סו</w:t>
                        </w:r>
                        <w:proofErr w:type="spellEnd"/>
                        <w:r w:rsidRPr="00056166">
                          <w:rPr>
                            <w:rFonts w:ascii="Arial" w:eastAsia="Times New Roman" w:hAnsi="Arial" w:cs="Arial"/>
                            <w:color w:val="000000"/>
                            <w:rtl/>
                          </w:rPr>
                          <w:t>/8(ב), "יישום חוק החינוך המיוחד: ועדת שילוב מוסדית, ועדת השמה וועדת ערר" – </w:t>
                        </w:r>
                        <w:r w:rsidRPr="00056166">
                          <w:rPr>
                            <w:rFonts w:ascii="Arial" w:eastAsia="Times New Roman" w:hAnsi="Arial" w:cs="Arial"/>
                            <w:b/>
                            <w:bCs/>
                            <w:color w:val="000000"/>
                            <w:rtl/>
                          </w:rPr>
                          <w:t>מבוטל</w:t>
                        </w:r>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t xml:space="preserve">-      סעיף 2.1-10 בחוזר הוראות הקבע </w:t>
                        </w:r>
                        <w:proofErr w:type="spellStart"/>
                        <w:r w:rsidRPr="00056166">
                          <w:rPr>
                            <w:rFonts w:ascii="Arial" w:eastAsia="Times New Roman" w:hAnsi="Arial" w:cs="Arial"/>
                            <w:color w:val="000000"/>
                            <w:rtl/>
                          </w:rPr>
                          <w:t>סו</w:t>
                        </w:r>
                        <w:proofErr w:type="spellEnd"/>
                        <w:r w:rsidRPr="00056166">
                          <w:rPr>
                            <w:rFonts w:ascii="Arial" w:eastAsia="Times New Roman" w:hAnsi="Arial" w:cs="Arial"/>
                            <w:color w:val="000000"/>
                            <w:rtl/>
                          </w:rPr>
                          <w:t>/3(א), "התיקון החדש לחוק לתיקון דיני ראיות – חקירת תלמידים כקרבנות או כעדים" – </w:t>
                        </w:r>
                        <w:r w:rsidRPr="00056166">
                          <w:rPr>
                            <w:rFonts w:ascii="Arial" w:eastAsia="Times New Roman" w:hAnsi="Arial" w:cs="Arial"/>
                            <w:b/>
                            <w:bCs/>
                            <w:color w:val="000000"/>
                            <w:rtl/>
                          </w:rPr>
                          <w:t>בתוקף</w:t>
                        </w:r>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t>-      סעיף 6.2-24 בחוזר הוראות הקבע סה/9(ג), "טיולים – היבטים פדגוגים-ארגוניים" –</w:t>
                        </w:r>
                        <w:r w:rsidRPr="00056166">
                          <w:rPr>
                            <w:rFonts w:ascii="Arial" w:eastAsia="Times New Roman" w:hAnsi="Arial" w:cs="Arial"/>
                            <w:b/>
                            <w:bCs/>
                            <w:color w:val="000000"/>
                            <w:rtl/>
                          </w:rPr>
                          <w:t> בתוקף</w:t>
                        </w:r>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t xml:space="preserve">-      סעיף 4.3-19 בחוזר הוראות הקבע </w:t>
                        </w:r>
                        <w:proofErr w:type="spellStart"/>
                        <w:r w:rsidRPr="00056166">
                          <w:rPr>
                            <w:rFonts w:ascii="Arial" w:eastAsia="Times New Roman" w:hAnsi="Arial" w:cs="Arial"/>
                            <w:color w:val="000000"/>
                            <w:rtl/>
                          </w:rPr>
                          <w:t>סג</w:t>
                        </w:r>
                        <w:proofErr w:type="spellEnd"/>
                        <w:r w:rsidRPr="00056166">
                          <w:rPr>
                            <w:rFonts w:ascii="Arial" w:eastAsia="Times New Roman" w:hAnsi="Arial" w:cs="Arial"/>
                            <w:color w:val="000000"/>
                            <w:rtl/>
                          </w:rPr>
                          <w:t>/4(א), "זכות ערעור לתלמיד על הציון הבית-ספרי המסכם (הציון השנתי) – </w:t>
                        </w:r>
                        <w:r w:rsidRPr="00056166">
                          <w:rPr>
                            <w:rFonts w:ascii="Arial" w:eastAsia="Times New Roman" w:hAnsi="Arial" w:cs="Arial"/>
                            <w:b/>
                            <w:bCs/>
                            <w:color w:val="000000"/>
                            <w:rtl/>
                          </w:rPr>
                          <w:t>בתוקף</w:t>
                        </w:r>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t>-     סעיף 4.3-16 בחוזר הוראות הקבע סב/5(א), "ציון בית-ספרי (ציון מגן/מסכם)" – </w:t>
                        </w:r>
                        <w:r w:rsidRPr="00056166">
                          <w:rPr>
                            <w:rFonts w:ascii="Arial" w:eastAsia="Times New Roman" w:hAnsi="Arial" w:cs="Arial"/>
                            <w:b/>
                            <w:bCs/>
                            <w:color w:val="000000"/>
                            <w:rtl/>
                          </w:rPr>
                          <w:t>בתוקף</w:t>
                        </w:r>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t>-     סעיף 2.5-6 בחוזר הוראות הקבע סב/3(ב), "מניעת עישון סיגריות ומוצרי טבק במוסדות החינוך" – </w:t>
                        </w:r>
                        <w:r w:rsidRPr="00056166">
                          <w:rPr>
                            <w:rFonts w:ascii="Arial" w:eastAsia="Times New Roman" w:hAnsi="Arial" w:cs="Arial"/>
                            <w:b/>
                            <w:bCs/>
                            <w:color w:val="000000"/>
                            <w:rtl/>
                          </w:rPr>
                          <w:t>בתוקף</w:t>
                        </w:r>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t xml:space="preserve">-     סעיף 2.1-2 בחוזר הוראות הקבע </w:t>
                        </w:r>
                        <w:proofErr w:type="spellStart"/>
                        <w:r w:rsidRPr="00056166">
                          <w:rPr>
                            <w:rFonts w:ascii="Arial" w:eastAsia="Times New Roman" w:hAnsi="Arial" w:cs="Arial"/>
                            <w:color w:val="000000"/>
                            <w:rtl/>
                          </w:rPr>
                          <w:t>תשס</w:t>
                        </w:r>
                        <w:proofErr w:type="spellEnd"/>
                        <w:r w:rsidRPr="00056166">
                          <w:rPr>
                            <w:rFonts w:ascii="Arial" w:eastAsia="Times New Roman" w:hAnsi="Arial" w:cs="Arial"/>
                            <w:color w:val="000000"/>
                            <w:rtl/>
                          </w:rPr>
                          <w:t>/2(א), "התמודדות מערכת החינוך עם פגיעה מינית של תלמידים בתלמידים" –</w:t>
                        </w:r>
                        <w:r w:rsidRPr="00056166">
                          <w:rPr>
                            <w:rFonts w:ascii="Arial" w:eastAsia="Times New Roman" w:hAnsi="Arial" w:cs="Arial"/>
                            <w:b/>
                            <w:bCs/>
                            <w:color w:val="000000"/>
                            <w:rtl/>
                          </w:rPr>
                          <w:t> בתוקף</w:t>
                        </w:r>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t xml:space="preserve">-     סעיף 4.3-13 בחוזר הוראות הקבע </w:t>
                        </w:r>
                        <w:proofErr w:type="spellStart"/>
                        <w:r w:rsidRPr="00056166">
                          <w:rPr>
                            <w:rFonts w:ascii="Arial" w:eastAsia="Times New Roman" w:hAnsi="Arial" w:cs="Arial"/>
                            <w:color w:val="000000"/>
                            <w:rtl/>
                          </w:rPr>
                          <w:t>תשס</w:t>
                        </w:r>
                        <w:proofErr w:type="spellEnd"/>
                        <w:r w:rsidRPr="00056166">
                          <w:rPr>
                            <w:rFonts w:ascii="Arial" w:eastAsia="Times New Roman" w:hAnsi="Arial" w:cs="Arial"/>
                            <w:color w:val="000000"/>
                            <w:rtl/>
                          </w:rPr>
                          <w:t>/2(א), "טוהר הבחינות" –</w:t>
                        </w:r>
                        <w:r w:rsidRPr="00056166">
                          <w:rPr>
                            <w:rFonts w:ascii="Arial" w:eastAsia="Times New Roman" w:hAnsi="Arial" w:cs="Arial"/>
                            <w:b/>
                            <w:bCs/>
                            <w:color w:val="000000"/>
                            <w:rtl/>
                          </w:rPr>
                          <w:t> בתוקף</w:t>
                        </w:r>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t>-     סעיף 1.2-19 בחוזר הוראות הקבע נט/8(א), "שיבוץ תלמידים במסגרות החינוך המיוחד" – </w:t>
                        </w:r>
                        <w:r w:rsidRPr="00056166">
                          <w:rPr>
                            <w:rFonts w:ascii="Arial" w:eastAsia="Times New Roman" w:hAnsi="Arial" w:cs="Arial"/>
                            <w:b/>
                            <w:bCs/>
                            <w:color w:val="000000"/>
                            <w:rtl/>
                          </w:rPr>
                          <w:t>בתוקף</w:t>
                        </w:r>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t xml:space="preserve">-     סעיף 2.5-1 בחוזר הודעות נט/7(א), "תיקונים לחוזר מיוחד ו', </w:t>
                        </w:r>
                        <w:proofErr w:type="spellStart"/>
                        <w:r w:rsidRPr="00056166">
                          <w:rPr>
                            <w:rFonts w:ascii="Arial" w:eastAsia="Times New Roman" w:hAnsi="Arial" w:cs="Arial"/>
                            <w:color w:val="000000"/>
                            <w:rtl/>
                          </w:rPr>
                          <w:t>התשנ"ח</w:t>
                        </w:r>
                        <w:proofErr w:type="spellEnd"/>
                        <w:r w:rsidRPr="00056166">
                          <w:rPr>
                            <w:rFonts w:ascii="Arial" w:eastAsia="Times New Roman" w:hAnsi="Arial" w:cs="Arial"/>
                            <w:color w:val="000000"/>
                            <w:rtl/>
                          </w:rPr>
                          <w:t>, "נוהל הטיפול בתלמיד שנמצא מעורב בשימוש בסמים" – </w:t>
                        </w:r>
                        <w:r w:rsidRPr="00056166">
                          <w:rPr>
                            <w:rFonts w:ascii="Arial" w:eastAsia="Times New Roman" w:hAnsi="Arial" w:cs="Arial"/>
                            <w:b/>
                            <w:bCs/>
                            <w:color w:val="000000"/>
                            <w:rtl/>
                          </w:rPr>
                          <w:t>בתוקף</w:t>
                        </w:r>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t xml:space="preserve">-     חוזר מיוחד ו', </w:t>
                        </w:r>
                        <w:proofErr w:type="spellStart"/>
                        <w:r w:rsidRPr="00056166">
                          <w:rPr>
                            <w:rFonts w:ascii="Arial" w:eastAsia="Times New Roman" w:hAnsi="Arial" w:cs="Arial"/>
                            <w:color w:val="000000"/>
                            <w:rtl/>
                          </w:rPr>
                          <w:t>התשנ"ח</w:t>
                        </w:r>
                        <w:proofErr w:type="spellEnd"/>
                        <w:r w:rsidRPr="00056166">
                          <w:rPr>
                            <w:rFonts w:ascii="Arial" w:eastAsia="Times New Roman" w:hAnsi="Arial" w:cs="Arial"/>
                            <w:color w:val="000000"/>
                            <w:rtl/>
                          </w:rPr>
                          <w:t>, "נוהל הטיפול בתלמיד שנמצא מעורב בשימוש בסמים" – </w:t>
                        </w:r>
                        <w:r w:rsidRPr="00056166">
                          <w:rPr>
                            <w:rFonts w:ascii="Arial" w:eastAsia="Times New Roman" w:hAnsi="Arial" w:cs="Arial"/>
                            <w:b/>
                            <w:bCs/>
                            <w:color w:val="000000"/>
                            <w:rtl/>
                          </w:rPr>
                          <w:t>בתוקף</w:t>
                        </w:r>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t>-      סעיף 2.5-1 בחוזר הוראות הקבע נח/7, "תיקון לחוזר מיוחד ו' תשנ"ח - נוהל הטיפול בתלמיד שנמצא מעורב בשימוש בסמים" – </w:t>
                        </w:r>
                        <w:r w:rsidRPr="00056166">
                          <w:rPr>
                            <w:rFonts w:ascii="Arial" w:eastAsia="Times New Roman" w:hAnsi="Arial" w:cs="Arial"/>
                            <w:b/>
                            <w:bCs/>
                            <w:color w:val="000000"/>
                            <w:rtl/>
                          </w:rPr>
                          <w:t>בתוקף</w:t>
                        </w:r>
                        <w:r w:rsidRPr="00056166">
                          <w:rPr>
                            <w:rFonts w:ascii="Arial" w:eastAsia="Times New Roman" w:hAnsi="Arial" w:cs="Arial"/>
                            <w:color w:val="000000"/>
                            <w:rtl/>
                          </w:rPr>
                          <w:t>.</w:t>
                        </w:r>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t> </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b/>
                            <w:bCs/>
                            <w:color w:val="000000"/>
                            <w:rtl/>
                          </w:rPr>
                          <w:t>התפוצה</w:t>
                        </w:r>
                      </w:p>
                      <w:p w:rsidR="00056166" w:rsidRPr="00056166" w:rsidRDefault="00056166" w:rsidP="00056166">
                        <w:pPr>
                          <w:bidi/>
                          <w:spacing w:after="120" w:line="280" w:lineRule="atLeast"/>
                          <w:ind w:left="397" w:hanging="397"/>
                          <w:jc w:val="left"/>
                          <w:rPr>
                            <w:rFonts w:ascii="Arial" w:eastAsia="Times New Roman" w:hAnsi="Arial" w:cs="Arial"/>
                            <w:color w:val="000000"/>
                            <w:rtl/>
                          </w:rPr>
                        </w:pPr>
                        <w:r w:rsidRPr="00056166">
                          <w:rPr>
                            <w:rFonts w:ascii="Arial" w:eastAsia="Times New Roman" w:hAnsi="Arial" w:cs="Arial"/>
                            <w:color w:val="000000"/>
                            <w:rtl/>
                          </w:rPr>
                          <w:t>מנהלי בתי הספר, מפקחים, יועצים חינוכיים, רכזי בטיחות, פסיכולוגים  ומורים.</w:t>
                        </w:r>
                      </w:p>
                      <w:p w:rsidR="00056166" w:rsidRPr="00056166" w:rsidRDefault="00056166" w:rsidP="00056166">
                        <w:pPr>
                          <w:bidi/>
                          <w:spacing w:after="120" w:line="280" w:lineRule="atLeast"/>
                          <w:jc w:val="left"/>
                          <w:rPr>
                            <w:rFonts w:ascii="Arial" w:eastAsia="Times New Roman" w:hAnsi="Arial" w:cs="Arial"/>
                            <w:color w:val="000000"/>
                            <w:rtl/>
                          </w:rPr>
                        </w:pPr>
                        <w:r w:rsidRPr="00056166">
                          <w:rPr>
                            <w:rFonts w:ascii="Arial" w:eastAsia="Times New Roman" w:hAnsi="Arial" w:cs="Arial"/>
                            <w:b/>
                            <w:bCs/>
                            <w:color w:val="000000"/>
                            <w:rtl/>
                          </w:rPr>
                          <w:t>הגורם האחראי</w:t>
                        </w:r>
                      </w:p>
                      <w:p w:rsidR="00056166" w:rsidRPr="00056166" w:rsidRDefault="00056166" w:rsidP="00056166">
                        <w:pPr>
                          <w:bidi/>
                          <w:spacing w:after="120" w:line="280" w:lineRule="atLeast"/>
                          <w:ind w:left="454" w:hanging="454"/>
                          <w:jc w:val="left"/>
                          <w:rPr>
                            <w:rFonts w:ascii="Arial" w:eastAsia="Times New Roman" w:hAnsi="Arial" w:cs="Arial"/>
                            <w:color w:val="000000"/>
                            <w:rtl/>
                          </w:rPr>
                        </w:pPr>
                        <w:r w:rsidRPr="00056166">
                          <w:rPr>
                            <w:rFonts w:ascii="Arial" w:eastAsia="Times New Roman" w:hAnsi="Arial" w:cs="Arial"/>
                            <w:color w:val="000000"/>
                            <w:rtl/>
                          </w:rPr>
                          <w:t>א.    </w:t>
                        </w:r>
                        <w:r w:rsidRPr="00056166">
                          <w:rPr>
                            <w:rFonts w:ascii="Arial" w:eastAsia="Times New Roman" w:hAnsi="Arial" w:cs="Arial"/>
                            <w:b/>
                            <w:bCs/>
                            <w:color w:val="000000"/>
                            <w:rtl/>
                          </w:rPr>
                          <w:t>שם היחידה: </w:t>
                        </w:r>
                        <w:r w:rsidRPr="00056166">
                          <w:rPr>
                            <w:rFonts w:ascii="Arial" w:eastAsia="Times New Roman" w:hAnsi="Arial" w:cs="Arial"/>
                            <w:color w:val="000000"/>
                            <w:rtl/>
                          </w:rPr>
                          <w:t xml:space="preserve">היחידה למניעת אלימות </w:t>
                        </w:r>
                        <w:proofErr w:type="spellStart"/>
                        <w:r w:rsidRPr="00056166">
                          <w:rPr>
                            <w:rFonts w:ascii="Arial" w:eastAsia="Times New Roman" w:hAnsi="Arial" w:cs="Arial"/>
                            <w:color w:val="000000"/>
                            <w:rtl/>
                          </w:rPr>
                          <w:t>בשפ"י</w:t>
                        </w:r>
                        <w:proofErr w:type="spellEnd"/>
                      </w:p>
                      <w:p w:rsidR="00056166" w:rsidRPr="00056166" w:rsidRDefault="00056166" w:rsidP="00056166">
                        <w:pPr>
                          <w:bidi/>
                          <w:spacing w:after="120" w:line="280" w:lineRule="atLeast"/>
                          <w:ind w:left="454" w:hanging="454"/>
                          <w:jc w:val="left"/>
                          <w:rPr>
                            <w:rFonts w:ascii="Arial" w:eastAsia="Times New Roman" w:hAnsi="Arial" w:cs="Arial"/>
                            <w:color w:val="000000"/>
                            <w:rtl/>
                          </w:rPr>
                        </w:pPr>
                        <w:r w:rsidRPr="00056166">
                          <w:rPr>
                            <w:rFonts w:ascii="Arial" w:eastAsia="Times New Roman" w:hAnsi="Arial" w:cs="Arial"/>
                            <w:color w:val="000000"/>
                            <w:rtl/>
                          </w:rPr>
                          <w:t>ב.    </w:t>
                        </w:r>
                        <w:r w:rsidRPr="00056166">
                          <w:rPr>
                            <w:rFonts w:ascii="Arial" w:eastAsia="Times New Roman" w:hAnsi="Arial" w:cs="Arial"/>
                            <w:b/>
                            <w:bCs/>
                            <w:color w:val="000000"/>
                            <w:rtl/>
                          </w:rPr>
                          <w:t>בעל התפקיד: </w:t>
                        </w:r>
                        <w:r w:rsidRPr="00056166">
                          <w:rPr>
                            <w:rFonts w:ascii="Arial" w:eastAsia="Times New Roman" w:hAnsi="Arial" w:cs="Arial"/>
                            <w:color w:val="000000"/>
                            <w:rtl/>
                          </w:rPr>
                          <w:t>מנהל היחידה למניעת אלימות</w:t>
                        </w:r>
                      </w:p>
                      <w:p w:rsidR="00056166" w:rsidRPr="00056166" w:rsidRDefault="00056166" w:rsidP="00056166">
                        <w:pPr>
                          <w:bidi/>
                          <w:spacing w:after="120" w:line="280" w:lineRule="atLeast"/>
                          <w:ind w:left="454" w:hanging="454"/>
                          <w:jc w:val="left"/>
                          <w:rPr>
                            <w:rFonts w:ascii="Arial" w:eastAsia="Times New Roman" w:hAnsi="Arial" w:cs="Arial"/>
                            <w:color w:val="000000"/>
                            <w:rtl/>
                          </w:rPr>
                        </w:pPr>
                        <w:r w:rsidRPr="00056166">
                          <w:rPr>
                            <w:rFonts w:ascii="Arial" w:eastAsia="Times New Roman" w:hAnsi="Arial" w:cs="Arial"/>
                            <w:color w:val="000000"/>
                            <w:rtl/>
                          </w:rPr>
                          <w:t>ג.    </w:t>
                        </w:r>
                        <w:r w:rsidRPr="00056166">
                          <w:rPr>
                            <w:rFonts w:ascii="Arial" w:eastAsia="Times New Roman" w:hAnsi="Arial" w:cs="Arial"/>
                            <w:b/>
                            <w:bCs/>
                            <w:color w:val="000000"/>
                            <w:rtl/>
                          </w:rPr>
                          <w:t>מספר הטלפון: </w:t>
                        </w:r>
                        <w:r w:rsidRPr="00056166">
                          <w:rPr>
                            <w:rFonts w:ascii="Arial" w:eastAsia="Times New Roman" w:hAnsi="Arial" w:cs="Arial"/>
                            <w:color w:val="000000"/>
                            <w:rtl/>
                          </w:rPr>
                          <w:t>02-5602064</w:t>
                        </w:r>
                      </w:p>
                      <w:p w:rsidR="00056166" w:rsidRPr="00056166" w:rsidRDefault="00056166" w:rsidP="00056166">
                        <w:pPr>
                          <w:bidi/>
                          <w:spacing w:after="120" w:line="280" w:lineRule="atLeast"/>
                          <w:ind w:left="454" w:hanging="454"/>
                          <w:jc w:val="left"/>
                          <w:rPr>
                            <w:rFonts w:ascii="Arial" w:eastAsia="Times New Roman" w:hAnsi="Arial" w:cs="Arial"/>
                            <w:color w:val="000000"/>
                            <w:rtl/>
                          </w:rPr>
                        </w:pPr>
                        <w:r w:rsidRPr="00056166">
                          <w:rPr>
                            <w:rFonts w:ascii="Arial" w:eastAsia="Times New Roman" w:hAnsi="Arial" w:cs="Arial"/>
                            <w:color w:val="000000"/>
                            <w:rtl/>
                          </w:rPr>
                          <w:t>ד.   </w:t>
                        </w:r>
                        <w:r w:rsidRPr="00056166">
                          <w:rPr>
                            <w:rFonts w:ascii="Arial" w:eastAsia="Times New Roman" w:hAnsi="Arial" w:cs="Arial"/>
                            <w:b/>
                            <w:bCs/>
                            <w:color w:val="000000"/>
                            <w:rtl/>
                          </w:rPr>
                          <w:t>הדואר האלקטרוני: </w:t>
                        </w:r>
                        <w:hyperlink r:id="rId8" w:history="1">
                          <w:r w:rsidRPr="00056166">
                            <w:rPr>
                              <w:rFonts w:ascii="Arial" w:eastAsia="Times New Roman" w:hAnsi="Arial" w:cs="Arial"/>
                              <w:color w:val="8F85B4"/>
                              <w:u w:val="single"/>
                            </w:rPr>
                            <w:t>einavlu@education.gov.il</w:t>
                          </w:r>
                        </w:hyperlink>
                        <w:r w:rsidRPr="00056166">
                          <w:rPr>
                            <w:rFonts w:ascii="Arial" w:eastAsia="Times New Roman" w:hAnsi="Arial" w:cs="Arial"/>
                            <w:color w:val="000000"/>
                            <w:rtl/>
                          </w:rPr>
                          <w:t>.</w:t>
                        </w:r>
                      </w:p>
                      <w:p w:rsidR="00056166" w:rsidRPr="00056166" w:rsidRDefault="00056166" w:rsidP="00056166">
                        <w:pPr>
                          <w:bidi/>
                          <w:spacing w:after="120" w:line="280" w:lineRule="atLeast"/>
                          <w:ind w:left="454" w:hanging="454"/>
                          <w:jc w:val="left"/>
                          <w:rPr>
                            <w:rFonts w:ascii="Arial" w:eastAsia="Times New Roman" w:hAnsi="Arial" w:cs="Arial"/>
                            <w:color w:val="000000"/>
                            <w:rtl/>
                          </w:rPr>
                        </w:pPr>
                        <w:r w:rsidRPr="00056166">
                          <w:rPr>
                            <w:rFonts w:ascii="Arial" w:eastAsia="Times New Roman" w:hAnsi="Arial" w:cs="Arial"/>
                            <w:b/>
                            <w:bCs/>
                            <w:color w:val="000000"/>
                            <w:rtl/>
                          </w:rPr>
                          <w:t>תוכן העניינים</w:t>
                        </w:r>
                      </w:p>
                      <w:p w:rsidR="00056166" w:rsidRPr="00056166" w:rsidRDefault="00056166" w:rsidP="00056166">
                        <w:pPr>
                          <w:bidi/>
                          <w:spacing w:after="120" w:line="280" w:lineRule="atLeast"/>
                          <w:ind w:left="720"/>
                          <w:jc w:val="left"/>
                          <w:rPr>
                            <w:rFonts w:ascii="Arial" w:eastAsia="Times New Roman" w:hAnsi="Arial" w:cs="Arial"/>
                            <w:color w:val="000000"/>
                            <w:rtl/>
                          </w:rPr>
                        </w:pPr>
                        <w:r w:rsidRPr="00056166">
                          <w:rPr>
                            <w:rFonts w:ascii="Arial" w:eastAsia="Times New Roman" w:hAnsi="Arial" w:cs="Arial"/>
                            <w:b/>
                            <w:bCs/>
                            <w:color w:val="000000"/>
                            <w:rtl/>
                          </w:rPr>
                          <w:lastRenderedPageBreak/>
                          <w:t>דבר המנכ"לית</w:t>
                        </w:r>
                        <w:r w:rsidRPr="00056166">
                          <w:rPr>
                            <w:rFonts w:ascii="Arial" w:eastAsia="Times New Roman" w:hAnsi="Arial" w:cs="Arial"/>
                            <w:color w:val="000000"/>
                            <w:rtl/>
                          </w:rPr>
                          <w:t> </w:t>
                        </w:r>
                      </w:p>
                      <w:p w:rsidR="00056166" w:rsidRPr="00056166" w:rsidRDefault="00056166" w:rsidP="00056166">
                        <w:pPr>
                          <w:bidi/>
                          <w:spacing w:after="120" w:line="280" w:lineRule="atLeast"/>
                          <w:ind w:left="1296" w:hanging="567"/>
                          <w:jc w:val="left"/>
                          <w:rPr>
                            <w:rFonts w:ascii="Arial" w:eastAsia="Times New Roman" w:hAnsi="Arial" w:cs="Arial"/>
                            <w:color w:val="000000"/>
                            <w:rtl/>
                          </w:rPr>
                        </w:pPr>
                        <w:r w:rsidRPr="00056166">
                          <w:rPr>
                            <w:rFonts w:ascii="Arial" w:eastAsia="Times New Roman" w:hAnsi="Arial" w:cs="Arial"/>
                            <w:b/>
                            <w:bCs/>
                            <w:color w:val="000000"/>
                            <w:rtl/>
                          </w:rPr>
                          <w:t>מבוא</w:t>
                        </w:r>
                      </w:p>
                      <w:p w:rsidR="00056166" w:rsidRPr="00056166" w:rsidRDefault="00056166" w:rsidP="00056166">
                        <w:pPr>
                          <w:bidi/>
                          <w:spacing w:after="120" w:line="280" w:lineRule="atLeast"/>
                          <w:ind w:left="1438" w:hanging="709"/>
                          <w:jc w:val="left"/>
                          <w:rPr>
                            <w:rFonts w:ascii="Arial" w:eastAsia="Times New Roman" w:hAnsi="Arial" w:cs="Arial"/>
                            <w:color w:val="000000"/>
                            <w:rtl/>
                          </w:rPr>
                        </w:pPr>
                        <w:r w:rsidRPr="00056166">
                          <w:rPr>
                            <w:rFonts w:ascii="Arial" w:eastAsia="Times New Roman" w:hAnsi="Arial" w:cs="Arial"/>
                            <w:b/>
                            <w:bCs/>
                            <w:color w:val="000000"/>
                            <w:rtl/>
                          </w:rPr>
                          <w:t>פרק א':</w:t>
                        </w:r>
                        <w:r w:rsidRPr="00056166">
                          <w:rPr>
                            <w:rFonts w:ascii="Arial" w:eastAsia="Times New Roman" w:hAnsi="Arial" w:cs="Arial"/>
                            <w:color w:val="000000"/>
                            <w:rtl/>
                          </w:rPr>
                          <w:t> היערכות חינוכית מערכתית כוללת ליצירת אקלים בית-ספרי בטוח ולצמצום האלימות</w:t>
                        </w:r>
                      </w:p>
                      <w:p w:rsidR="00056166" w:rsidRPr="00056166" w:rsidRDefault="00056166" w:rsidP="00056166">
                        <w:pPr>
                          <w:bidi/>
                          <w:spacing w:after="120" w:line="280" w:lineRule="atLeast"/>
                          <w:ind w:left="1296" w:hanging="567"/>
                          <w:jc w:val="left"/>
                          <w:rPr>
                            <w:rFonts w:ascii="Arial" w:eastAsia="Times New Roman" w:hAnsi="Arial" w:cs="Arial"/>
                            <w:color w:val="000000"/>
                            <w:rtl/>
                          </w:rPr>
                        </w:pPr>
                        <w:r w:rsidRPr="00056166">
                          <w:rPr>
                            <w:rFonts w:ascii="Arial" w:eastAsia="Times New Roman" w:hAnsi="Arial" w:cs="Arial"/>
                            <w:b/>
                            <w:bCs/>
                            <w:color w:val="000000"/>
                            <w:rtl/>
                          </w:rPr>
                          <w:t>פרק ב':</w:t>
                        </w:r>
                        <w:r w:rsidRPr="00056166">
                          <w:rPr>
                            <w:rFonts w:ascii="Arial" w:eastAsia="Times New Roman" w:hAnsi="Arial" w:cs="Arial"/>
                            <w:color w:val="000000"/>
                            <w:rtl/>
                          </w:rPr>
                          <w:t> אורחות חיים – התנהלות בשגרה</w:t>
                        </w:r>
                      </w:p>
                      <w:p w:rsidR="00056166" w:rsidRPr="00056166" w:rsidRDefault="00056166" w:rsidP="00056166">
                        <w:pPr>
                          <w:bidi/>
                          <w:spacing w:after="120" w:line="280" w:lineRule="atLeast"/>
                          <w:ind w:left="1296" w:hanging="567"/>
                          <w:jc w:val="left"/>
                          <w:rPr>
                            <w:rFonts w:ascii="Arial" w:eastAsia="Times New Roman" w:hAnsi="Arial" w:cs="Arial"/>
                            <w:color w:val="000000"/>
                            <w:rtl/>
                          </w:rPr>
                        </w:pPr>
                        <w:r w:rsidRPr="00056166">
                          <w:rPr>
                            <w:rFonts w:ascii="Arial" w:eastAsia="Times New Roman" w:hAnsi="Arial" w:cs="Arial"/>
                            <w:b/>
                            <w:bCs/>
                            <w:color w:val="000000"/>
                            <w:rtl/>
                          </w:rPr>
                          <w:t>פרק ג':</w:t>
                        </w:r>
                        <w:r w:rsidRPr="00056166">
                          <w:rPr>
                            <w:rFonts w:ascii="Arial" w:eastAsia="Times New Roman" w:hAnsi="Arial" w:cs="Arial"/>
                            <w:color w:val="000000"/>
                            <w:rtl/>
                          </w:rPr>
                          <w:t> התמודדות עם אירועי אלימות</w:t>
                        </w:r>
                      </w:p>
                      <w:p w:rsidR="00056166" w:rsidRPr="00056166" w:rsidRDefault="00056166" w:rsidP="00056166">
                        <w:pPr>
                          <w:bidi/>
                          <w:spacing w:after="120" w:line="280" w:lineRule="atLeast"/>
                          <w:ind w:left="1438" w:hanging="709"/>
                          <w:jc w:val="left"/>
                          <w:rPr>
                            <w:rFonts w:ascii="Arial" w:eastAsia="Times New Roman" w:hAnsi="Arial" w:cs="Arial"/>
                            <w:color w:val="000000"/>
                            <w:rtl/>
                          </w:rPr>
                        </w:pPr>
                        <w:r w:rsidRPr="00056166">
                          <w:rPr>
                            <w:rFonts w:ascii="Arial" w:eastAsia="Times New Roman" w:hAnsi="Arial" w:cs="Arial"/>
                            <w:b/>
                            <w:bCs/>
                            <w:color w:val="000000"/>
                            <w:rtl/>
                          </w:rPr>
                          <w:t>פרק ד':</w:t>
                        </w:r>
                        <w:r w:rsidRPr="00056166">
                          <w:rPr>
                            <w:rFonts w:ascii="Arial" w:eastAsia="Times New Roman" w:hAnsi="Arial" w:cs="Arial"/>
                            <w:color w:val="000000"/>
                            <w:rtl/>
                          </w:rPr>
                          <w:t> היערכות מערכתית ליצירת אקלים חינוכי בטוח ולמניעת אלימות והתנהגויות לא מותאמות בגן הילדים</w:t>
                        </w:r>
                      </w:p>
                      <w:p w:rsidR="00056166" w:rsidRPr="00056166" w:rsidRDefault="00056166" w:rsidP="00056166">
                        <w:pPr>
                          <w:bidi/>
                          <w:spacing w:after="120" w:line="280" w:lineRule="atLeast"/>
                          <w:ind w:left="1438" w:hanging="709"/>
                          <w:jc w:val="left"/>
                          <w:rPr>
                            <w:rFonts w:ascii="Arial" w:eastAsia="Times New Roman" w:hAnsi="Arial" w:cs="Arial"/>
                            <w:color w:val="000000"/>
                            <w:rtl/>
                          </w:rPr>
                        </w:pPr>
                        <w:r w:rsidRPr="00056166">
                          <w:rPr>
                            <w:rFonts w:ascii="Arial" w:eastAsia="Times New Roman" w:hAnsi="Arial" w:cs="Arial"/>
                            <w:b/>
                            <w:bCs/>
                            <w:color w:val="000000"/>
                            <w:rtl/>
                          </w:rPr>
                          <w:t>פרק ה':</w:t>
                        </w:r>
                        <w:r w:rsidRPr="00056166">
                          <w:rPr>
                            <w:rFonts w:ascii="Arial" w:eastAsia="Times New Roman" w:hAnsi="Arial" w:cs="Arial"/>
                            <w:color w:val="000000"/>
                            <w:rtl/>
                          </w:rPr>
                          <w:t> תלמידים עם צרכים מיוחדים – בשילוב, בכיתות חינוך מיוחד בחינוך  הרגיל ובמוסדות החינוך המיוחד</w:t>
                        </w:r>
                      </w:p>
                      <w:p w:rsidR="00056166" w:rsidRPr="00056166" w:rsidRDefault="00056166" w:rsidP="00056166">
                        <w:pPr>
                          <w:bidi/>
                          <w:spacing w:after="60" w:line="280" w:lineRule="atLeast"/>
                          <w:ind w:left="720"/>
                          <w:jc w:val="left"/>
                          <w:rPr>
                            <w:rFonts w:ascii="Arial" w:eastAsia="Times New Roman" w:hAnsi="Arial" w:cs="Arial"/>
                            <w:color w:val="000000"/>
                            <w:rtl/>
                          </w:rPr>
                        </w:pPr>
                        <w:r w:rsidRPr="00056166">
                          <w:rPr>
                            <w:rFonts w:ascii="Arial" w:eastAsia="Times New Roman" w:hAnsi="Arial" w:cs="Arial"/>
                            <w:b/>
                            <w:bCs/>
                            <w:color w:val="000000"/>
                            <w:rtl/>
                          </w:rPr>
                          <w:t>נספחים</w:t>
                        </w:r>
                      </w:p>
                      <w:p w:rsidR="00056166" w:rsidRPr="00056166" w:rsidRDefault="00056166" w:rsidP="00056166">
                        <w:pPr>
                          <w:bidi/>
                          <w:spacing w:after="120" w:line="280" w:lineRule="atLeast"/>
                          <w:ind w:left="1296" w:hanging="567"/>
                          <w:jc w:val="left"/>
                          <w:rPr>
                            <w:rFonts w:ascii="Arial" w:eastAsia="Times New Roman" w:hAnsi="Arial" w:cs="Arial"/>
                            <w:color w:val="000000"/>
                            <w:rtl/>
                          </w:rPr>
                        </w:pPr>
                        <w:r w:rsidRPr="00056166">
                          <w:rPr>
                            <w:rFonts w:ascii="Arial" w:eastAsia="Times New Roman" w:hAnsi="Arial" w:cs="Arial"/>
                            <w:b/>
                            <w:bCs/>
                            <w:color w:val="000000"/>
                            <w:rtl/>
                          </w:rPr>
                          <w:t>נספח 1: </w:t>
                        </w:r>
                        <w:r w:rsidRPr="00056166">
                          <w:rPr>
                            <w:rFonts w:ascii="Arial" w:eastAsia="Times New Roman" w:hAnsi="Arial" w:cs="Arial"/>
                            <w:color w:val="000000"/>
                            <w:rtl/>
                          </w:rPr>
                          <w:t>  בניית תכנית אישית לתלמיד בעל בעיות התנהגות או אלימות</w:t>
                        </w:r>
                      </w:p>
                      <w:p w:rsidR="00056166" w:rsidRPr="00056166" w:rsidRDefault="00056166" w:rsidP="00056166">
                        <w:pPr>
                          <w:bidi/>
                          <w:spacing w:after="120" w:line="280" w:lineRule="atLeast"/>
                          <w:ind w:left="1580" w:hanging="851"/>
                          <w:jc w:val="left"/>
                          <w:rPr>
                            <w:rFonts w:ascii="Arial" w:eastAsia="Times New Roman" w:hAnsi="Arial" w:cs="Arial"/>
                            <w:color w:val="000000"/>
                            <w:rtl/>
                          </w:rPr>
                        </w:pPr>
                        <w:r w:rsidRPr="00056166">
                          <w:rPr>
                            <w:rFonts w:ascii="Arial" w:eastAsia="Times New Roman" w:hAnsi="Arial" w:cs="Arial"/>
                            <w:b/>
                            <w:bCs/>
                            <w:color w:val="000000"/>
                            <w:rtl/>
                          </w:rPr>
                          <w:t>נספח 2:</w:t>
                        </w:r>
                        <w:r w:rsidRPr="00056166">
                          <w:rPr>
                            <w:rFonts w:ascii="Arial" w:eastAsia="Times New Roman" w:hAnsi="Arial" w:cs="Arial"/>
                            <w:color w:val="000000"/>
                            <w:rtl/>
                          </w:rPr>
                          <w:t>   טופס דיווח לממונה על הפרט ועל תנאי השירות במשרד על אירוע פגיעה בתלמיד על ידי מורה</w:t>
                        </w:r>
                      </w:p>
                      <w:p w:rsidR="00056166" w:rsidRPr="00056166" w:rsidRDefault="00056166" w:rsidP="00056166">
                        <w:pPr>
                          <w:bidi/>
                          <w:spacing w:after="120" w:line="280" w:lineRule="atLeast"/>
                          <w:ind w:left="1296" w:hanging="567"/>
                          <w:jc w:val="left"/>
                          <w:rPr>
                            <w:rFonts w:ascii="Arial" w:eastAsia="Times New Roman" w:hAnsi="Arial" w:cs="Arial"/>
                            <w:color w:val="000000"/>
                            <w:rtl/>
                          </w:rPr>
                        </w:pPr>
                        <w:r w:rsidRPr="00056166">
                          <w:rPr>
                            <w:rFonts w:ascii="Arial" w:eastAsia="Times New Roman" w:hAnsi="Arial" w:cs="Arial"/>
                            <w:b/>
                            <w:bCs/>
                            <w:color w:val="000000"/>
                            <w:rtl/>
                          </w:rPr>
                          <w:t>נספח 3:</w:t>
                        </w:r>
                        <w:r w:rsidRPr="00056166">
                          <w:rPr>
                            <w:rFonts w:ascii="Arial" w:eastAsia="Times New Roman" w:hAnsi="Arial" w:cs="Arial"/>
                            <w:color w:val="000000"/>
                            <w:rtl/>
                          </w:rPr>
                          <w:t>  בקשה להשעיית תלמיד ממסגרת החינוך המיוחד</w:t>
                        </w:r>
                      </w:p>
                      <w:p w:rsidR="00056166" w:rsidRPr="00056166" w:rsidRDefault="00056166" w:rsidP="00056166">
                        <w:pPr>
                          <w:bidi/>
                          <w:spacing w:after="120" w:line="280" w:lineRule="atLeast"/>
                          <w:ind w:left="1296" w:hanging="567"/>
                          <w:jc w:val="left"/>
                          <w:rPr>
                            <w:rFonts w:ascii="Arial" w:eastAsia="Times New Roman" w:hAnsi="Arial" w:cs="Arial"/>
                            <w:color w:val="000000"/>
                            <w:rtl/>
                          </w:rPr>
                        </w:pPr>
                        <w:r w:rsidRPr="00056166">
                          <w:rPr>
                            <w:rFonts w:ascii="Arial" w:eastAsia="Times New Roman" w:hAnsi="Arial" w:cs="Arial"/>
                            <w:b/>
                            <w:bCs/>
                            <w:color w:val="000000"/>
                            <w:rtl/>
                          </w:rPr>
                          <w:t>נספח 4</w:t>
                        </w:r>
                        <w:r w:rsidRPr="00056166">
                          <w:rPr>
                            <w:rFonts w:ascii="Arial" w:eastAsia="Times New Roman" w:hAnsi="Arial" w:cs="Arial"/>
                            <w:color w:val="000000"/>
                            <w:rtl/>
                          </w:rPr>
                          <w:t>:  אישור/דחיית בקשה להשעיית תלמיד ממסגרת החינוך המיוחד</w:t>
                        </w:r>
                      </w:p>
                      <w:p w:rsidR="00056166" w:rsidRPr="00056166" w:rsidRDefault="00056166" w:rsidP="00056166">
                        <w:pPr>
                          <w:bidi/>
                          <w:spacing w:after="120" w:line="280" w:lineRule="atLeast"/>
                          <w:ind w:left="1580" w:hanging="851"/>
                          <w:jc w:val="left"/>
                          <w:rPr>
                            <w:rFonts w:ascii="Arial" w:eastAsia="Times New Roman" w:hAnsi="Arial" w:cs="Arial"/>
                            <w:color w:val="000000"/>
                            <w:rtl/>
                          </w:rPr>
                        </w:pPr>
                        <w:r w:rsidRPr="00056166">
                          <w:rPr>
                            <w:rFonts w:ascii="Arial" w:eastAsia="Times New Roman" w:hAnsi="Arial" w:cs="Arial"/>
                            <w:b/>
                            <w:bCs/>
                            <w:color w:val="000000"/>
                            <w:rtl/>
                          </w:rPr>
                          <w:t>נספח 5:</w:t>
                        </w:r>
                        <w:r w:rsidRPr="00056166">
                          <w:rPr>
                            <w:rFonts w:ascii="Arial" w:eastAsia="Times New Roman" w:hAnsi="Arial" w:cs="Arial"/>
                            <w:color w:val="000000"/>
                            <w:rtl/>
                          </w:rPr>
                          <w:t>  בקשה להשהיית תלמיד ממסגרת חינוך מיוחד לצורך  התערבות   רפואית</w:t>
                        </w:r>
                      </w:p>
                      <w:p w:rsidR="00056166" w:rsidRPr="00056166" w:rsidRDefault="00056166" w:rsidP="00056166">
                        <w:pPr>
                          <w:bidi/>
                          <w:spacing w:after="120" w:line="280" w:lineRule="atLeast"/>
                          <w:ind w:left="1580" w:hanging="851"/>
                          <w:jc w:val="left"/>
                          <w:rPr>
                            <w:rFonts w:ascii="Arial" w:eastAsia="Times New Roman" w:hAnsi="Arial" w:cs="Arial"/>
                            <w:color w:val="000000"/>
                            <w:rtl/>
                          </w:rPr>
                        </w:pPr>
                        <w:r w:rsidRPr="00056166">
                          <w:rPr>
                            <w:rFonts w:ascii="Arial" w:eastAsia="Times New Roman" w:hAnsi="Arial" w:cs="Arial"/>
                            <w:b/>
                            <w:bCs/>
                            <w:color w:val="000000"/>
                            <w:rtl/>
                          </w:rPr>
                          <w:t>נספח 6:</w:t>
                        </w:r>
                        <w:r w:rsidRPr="00056166">
                          <w:rPr>
                            <w:rFonts w:ascii="Arial" w:eastAsia="Times New Roman" w:hAnsi="Arial" w:cs="Arial"/>
                            <w:color w:val="000000"/>
                            <w:rtl/>
                          </w:rPr>
                          <w:t>  אישור/דחיית בקשה להשהיית תלמיד ממסגרת חינוך מיוחד לצורך התערבות רפואית</w:t>
                        </w:r>
                      </w:p>
                      <w:p w:rsidR="00056166" w:rsidRPr="00056166" w:rsidRDefault="00056166" w:rsidP="00056166">
                        <w:pPr>
                          <w:bidi/>
                          <w:spacing w:after="120" w:line="280" w:lineRule="atLeast"/>
                          <w:ind w:left="1296" w:hanging="567"/>
                          <w:jc w:val="left"/>
                          <w:rPr>
                            <w:rFonts w:ascii="Arial" w:eastAsia="Times New Roman" w:hAnsi="Arial" w:cs="Arial"/>
                            <w:color w:val="000000"/>
                            <w:rtl/>
                          </w:rPr>
                        </w:pPr>
                        <w:r w:rsidRPr="00056166">
                          <w:rPr>
                            <w:rFonts w:ascii="Arial" w:eastAsia="Times New Roman" w:hAnsi="Arial" w:cs="Arial"/>
                            <w:b/>
                            <w:bCs/>
                            <w:color w:val="000000"/>
                            <w:rtl/>
                          </w:rPr>
                          <w:t>נספח 7</w:t>
                        </w:r>
                        <w:r w:rsidRPr="00056166">
                          <w:rPr>
                            <w:rFonts w:ascii="Arial" w:eastAsia="Times New Roman" w:hAnsi="Arial" w:cs="Arial"/>
                            <w:color w:val="000000"/>
                            <w:rtl/>
                          </w:rPr>
                          <w:t>:  הגדרת "כלי נשק" על פי החוק</w:t>
                        </w:r>
                      </w:p>
                      <w:p w:rsidR="00056166" w:rsidRPr="00056166" w:rsidRDefault="00056166" w:rsidP="00056166">
                        <w:pPr>
                          <w:bidi/>
                          <w:spacing w:after="120" w:line="280" w:lineRule="atLeast"/>
                          <w:ind w:left="1580" w:hanging="851"/>
                          <w:jc w:val="left"/>
                          <w:rPr>
                            <w:rFonts w:ascii="Arial" w:eastAsia="Times New Roman" w:hAnsi="Arial" w:cs="Arial"/>
                            <w:color w:val="000000"/>
                            <w:rtl/>
                          </w:rPr>
                        </w:pPr>
                        <w:r w:rsidRPr="00056166">
                          <w:rPr>
                            <w:rFonts w:ascii="Arial" w:eastAsia="Times New Roman" w:hAnsi="Arial" w:cs="Arial"/>
                            <w:b/>
                            <w:bCs/>
                            <w:color w:val="000000"/>
                            <w:rtl/>
                          </w:rPr>
                          <w:t>נספח 8: </w:t>
                        </w:r>
                        <w:r w:rsidRPr="00056166">
                          <w:rPr>
                            <w:rFonts w:ascii="Arial" w:eastAsia="Times New Roman" w:hAnsi="Arial" w:cs="Arial"/>
                            <w:color w:val="000000"/>
                            <w:rtl/>
                          </w:rPr>
                          <w:t> חקירת קטינים בתוך המוסד החינוכי או מחוצה לו כעדים או כחשודים בלשון החוק</w:t>
                        </w:r>
                      </w:p>
                      <w:p w:rsidR="00056166" w:rsidRPr="00056166" w:rsidRDefault="00056166" w:rsidP="00056166">
                        <w:pPr>
                          <w:bidi/>
                          <w:spacing w:after="120" w:line="280" w:lineRule="atLeast"/>
                          <w:ind w:left="1296" w:hanging="567"/>
                          <w:jc w:val="left"/>
                          <w:rPr>
                            <w:rFonts w:ascii="Arial" w:eastAsia="Times New Roman" w:hAnsi="Arial" w:cs="Arial"/>
                            <w:color w:val="000000"/>
                            <w:rtl/>
                          </w:rPr>
                        </w:pPr>
                        <w:r w:rsidRPr="00056166">
                          <w:rPr>
                            <w:rFonts w:ascii="Arial" w:eastAsia="Times New Roman" w:hAnsi="Arial" w:cs="Arial"/>
                            <w:b/>
                            <w:bCs/>
                            <w:color w:val="000000"/>
                            <w:rtl/>
                          </w:rPr>
                          <w:t>נספח 9:</w:t>
                        </w:r>
                        <w:r w:rsidRPr="00056166">
                          <w:rPr>
                            <w:rFonts w:ascii="Arial" w:eastAsia="Times New Roman" w:hAnsi="Arial" w:cs="Arial"/>
                            <w:color w:val="000000"/>
                            <w:rtl/>
                          </w:rPr>
                          <w:t>  גישה מאחה בבית הספר ויישומה</w:t>
                        </w:r>
                      </w:p>
                      <w:p w:rsidR="00056166" w:rsidRPr="00056166" w:rsidRDefault="00056166" w:rsidP="00056166">
                        <w:pPr>
                          <w:bidi/>
                          <w:spacing w:after="120" w:line="280" w:lineRule="atLeast"/>
                          <w:ind w:left="1296" w:hanging="567"/>
                          <w:jc w:val="left"/>
                          <w:rPr>
                            <w:rFonts w:ascii="Arial" w:eastAsia="Times New Roman" w:hAnsi="Arial" w:cs="Arial"/>
                            <w:color w:val="000000"/>
                            <w:rtl/>
                          </w:rPr>
                        </w:pPr>
                        <w:r w:rsidRPr="00056166">
                          <w:rPr>
                            <w:rFonts w:ascii="Arial" w:eastAsia="Times New Roman" w:hAnsi="Arial" w:cs="Arial"/>
                            <w:b/>
                            <w:bCs/>
                            <w:color w:val="000000"/>
                            <w:rtl/>
                          </w:rPr>
                          <w:t>נספח 10:</w:t>
                        </w:r>
                        <w:r w:rsidRPr="00056166">
                          <w:rPr>
                            <w:rFonts w:ascii="Arial" w:eastAsia="Times New Roman" w:hAnsi="Arial" w:cs="Arial"/>
                            <w:color w:val="000000"/>
                            <w:rtl/>
                          </w:rPr>
                          <w:t> צעדים לטיפול באירוע של פגיעה מקוונת</w:t>
                        </w:r>
                      </w:p>
                      <w:p w:rsidR="00056166" w:rsidRPr="00056166" w:rsidRDefault="00056166" w:rsidP="00056166">
                        <w:pPr>
                          <w:bidi/>
                          <w:spacing w:after="120" w:line="280" w:lineRule="atLeast"/>
                          <w:ind w:left="1296" w:hanging="567"/>
                          <w:jc w:val="left"/>
                          <w:rPr>
                            <w:rFonts w:ascii="Arial" w:eastAsia="Times New Roman" w:hAnsi="Arial" w:cs="Arial"/>
                            <w:color w:val="000000"/>
                            <w:rtl/>
                          </w:rPr>
                        </w:pPr>
                        <w:r w:rsidRPr="00056166">
                          <w:rPr>
                            <w:rFonts w:ascii="Arial" w:eastAsia="Times New Roman" w:hAnsi="Arial" w:cs="Arial"/>
                            <w:color w:val="000000"/>
                            <w:rtl/>
                          </w:rPr>
                          <w:t> </w:t>
                        </w:r>
                      </w:p>
                      <w:p w:rsidR="00056166" w:rsidRPr="00056166" w:rsidRDefault="00056166" w:rsidP="00056166">
                        <w:pPr>
                          <w:bidi/>
                          <w:spacing w:after="120" w:line="280" w:lineRule="atLeast"/>
                          <w:ind w:left="1296" w:hanging="567"/>
                          <w:jc w:val="left"/>
                          <w:rPr>
                            <w:rFonts w:ascii="Arial" w:eastAsia="Times New Roman" w:hAnsi="Arial" w:cs="Arial"/>
                            <w:color w:val="000000"/>
                            <w:rtl/>
                          </w:rPr>
                        </w:pPr>
                        <w:r w:rsidRPr="00056166">
                          <w:rPr>
                            <w:rFonts w:ascii="Arial" w:eastAsia="Times New Roman" w:hAnsi="Arial" w:cs="Arial"/>
                            <w:color w:val="000000"/>
                            <w:rtl/>
                          </w:rPr>
                          <w:t> </w:t>
                        </w:r>
                      </w:p>
                      <w:p w:rsidR="00056166" w:rsidRPr="00056166" w:rsidRDefault="00056166" w:rsidP="00056166">
                        <w:pPr>
                          <w:bidi/>
                          <w:spacing w:after="0" w:line="240" w:lineRule="auto"/>
                          <w:jc w:val="left"/>
                          <w:rPr>
                            <w:rFonts w:ascii="Arial" w:eastAsia="Times New Roman" w:hAnsi="Arial" w:cs="Arial"/>
                            <w:color w:val="000000"/>
                            <w:rtl/>
                          </w:rPr>
                        </w:pPr>
                        <w:hyperlink r:id="rId9" w:history="1">
                          <w:r w:rsidRPr="00056166">
                            <w:rPr>
                              <w:rFonts w:ascii="Arial" w:eastAsia="Times New Roman" w:hAnsi="Arial" w:cs="Arial"/>
                              <w:color w:val="8F85B4"/>
                              <w:sz w:val="24"/>
                              <w:szCs w:val="24"/>
                              <w:u w:val="single"/>
                              <w:rtl/>
                            </w:rPr>
                            <w:t>קישור לחו</w:t>
                          </w:r>
                          <w:r w:rsidRPr="00056166">
                            <w:rPr>
                              <w:rFonts w:ascii="Arial" w:eastAsia="Times New Roman" w:hAnsi="Arial" w:cs="Arial"/>
                              <w:color w:val="8F85B4"/>
                              <w:sz w:val="24"/>
                              <w:szCs w:val="24"/>
                              <w:u w:val="single"/>
                              <w:rtl/>
                            </w:rPr>
                            <w:t>ז</w:t>
                          </w:r>
                          <w:bookmarkStart w:id="0" w:name="_GoBack"/>
                          <w:bookmarkEnd w:id="0"/>
                          <w:r w:rsidRPr="00056166">
                            <w:rPr>
                              <w:rFonts w:ascii="Arial" w:eastAsia="Times New Roman" w:hAnsi="Arial" w:cs="Arial"/>
                              <w:color w:val="8F85B4"/>
                              <w:sz w:val="24"/>
                              <w:szCs w:val="24"/>
                              <w:u w:val="single"/>
                              <w:rtl/>
                            </w:rPr>
                            <w:t>ר</w:t>
                          </w:r>
                          <w:r w:rsidRPr="00056166">
                            <w:rPr>
                              <w:rFonts w:ascii="Arial" w:eastAsia="Times New Roman" w:hAnsi="Arial" w:cs="Arial"/>
                              <w:color w:val="8F85B4"/>
                              <w:sz w:val="24"/>
                              <w:szCs w:val="24"/>
                              <w:u w:val="single"/>
                              <w:rtl/>
                            </w:rPr>
                            <w:t xml:space="preserve"> המלא</w:t>
                          </w:r>
                        </w:hyperlink>
                      </w:p>
                    </w:tc>
                  </w:tr>
                  <w:tr w:rsidR="00056166" w:rsidRPr="00056166">
                    <w:tc>
                      <w:tcPr>
                        <w:tcW w:w="0" w:type="auto"/>
                        <w:vAlign w:val="center"/>
                        <w:hideMark/>
                      </w:tcPr>
                      <w:p w:rsidR="00056166" w:rsidRPr="00056166" w:rsidRDefault="00056166" w:rsidP="00056166">
                        <w:pPr>
                          <w:bidi/>
                          <w:spacing w:after="0" w:line="240" w:lineRule="auto"/>
                          <w:jc w:val="left"/>
                          <w:rPr>
                            <w:rFonts w:ascii="Times New Roman" w:eastAsia="Times New Roman" w:hAnsi="Times New Roman" w:cs="Times New Roman"/>
                          </w:rPr>
                        </w:pPr>
                      </w:p>
                    </w:tc>
                    <w:tc>
                      <w:tcPr>
                        <w:tcW w:w="0" w:type="auto"/>
                        <w:vAlign w:val="center"/>
                        <w:hideMark/>
                      </w:tcPr>
                      <w:p w:rsidR="00056166" w:rsidRPr="00056166" w:rsidRDefault="00056166" w:rsidP="00056166">
                        <w:pPr>
                          <w:bidi/>
                          <w:spacing w:after="0" w:line="240" w:lineRule="auto"/>
                          <w:jc w:val="left"/>
                          <w:rPr>
                            <w:rFonts w:ascii="Times New Roman" w:eastAsia="Times New Roman" w:hAnsi="Times New Roman" w:cs="Times New Roman"/>
                            <w:sz w:val="20"/>
                            <w:szCs w:val="20"/>
                          </w:rPr>
                        </w:pPr>
                      </w:p>
                    </w:tc>
                  </w:tr>
                </w:tbl>
                <w:p w:rsidR="00056166" w:rsidRPr="00056166" w:rsidRDefault="00056166" w:rsidP="00056166">
                  <w:pPr>
                    <w:bidi/>
                    <w:spacing w:after="0" w:line="240" w:lineRule="auto"/>
                    <w:jc w:val="left"/>
                    <w:rPr>
                      <w:rFonts w:ascii="Times New Roman" w:eastAsia="Times New Roman" w:hAnsi="Times New Roman" w:cs="Times New Roman"/>
                    </w:rPr>
                  </w:pPr>
                </w:p>
              </w:tc>
              <w:tc>
                <w:tcPr>
                  <w:tcW w:w="1515" w:type="dxa"/>
                  <w:hideMark/>
                </w:tcPr>
                <w:p w:rsidR="00056166" w:rsidRPr="00056166" w:rsidRDefault="00056166" w:rsidP="00056166">
                  <w:pPr>
                    <w:bidi/>
                    <w:spacing w:after="0" w:line="240" w:lineRule="auto"/>
                    <w:rPr>
                      <w:rFonts w:ascii="Times New Roman" w:eastAsia="Times New Roman" w:hAnsi="Times New Roman" w:cs="Times New Roman"/>
                    </w:rPr>
                  </w:pPr>
                </w:p>
              </w:tc>
            </w:tr>
          </w:tbl>
          <w:p w:rsidR="00056166" w:rsidRPr="00056166" w:rsidRDefault="00056166" w:rsidP="00056166">
            <w:pPr>
              <w:bidi/>
              <w:spacing w:after="0" w:line="240" w:lineRule="auto"/>
              <w:jc w:val="left"/>
              <w:rPr>
                <w:rFonts w:ascii="Arial" w:eastAsia="Times New Roman" w:hAnsi="Arial" w:cs="Arial"/>
              </w:rPr>
            </w:pPr>
          </w:p>
        </w:tc>
      </w:tr>
      <w:tr w:rsidR="00056166" w:rsidRPr="00056166" w:rsidTr="00056166">
        <w:trPr>
          <w:trHeight w:val="825"/>
          <w:jc w:val="center"/>
        </w:trPr>
        <w:tc>
          <w:tcPr>
            <w:tcW w:w="0" w:type="auto"/>
            <w:shd w:val="clear" w:color="auto" w:fill="FFFFFF"/>
            <w:vAlign w:val="bottom"/>
            <w:hideMark/>
          </w:tcPr>
          <w:tbl>
            <w:tblPr>
              <w:tblpPr w:leftFromText="45" w:rightFromText="45" w:vertAnchor="text" w:tblpXSpec="right" w:tblpYSpec="center"/>
              <w:bidiVisual/>
              <w:tblW w:w="0" w:type="auto"/>
              <w:tblCellMar>
                <w:left w:w="0" w:type="dxa"/>
                <w:right w:w="0" w:type="dxa"/>
              </w:tblCellMar>
              <w:tblLook w:val="04A0" w:firstRow="1" w:lastRow="0" w:firstColumn="1" w:lastColumn="0" w:noHBand="0" w:noVBand="1"/>
            </w:tblPr>
            <w:tblGrid>
              <w:gridCol w:w="1743"/>
              <w:gridCol w:w="6563"/>
            </w:tblGrid>
            <w:tr w:rsidR="00056166" w:rsidRPr="00056166">
              <w:tc>
                <w:tcPr>
                  <w:tcW w:w="2100" w:type="dxa"/>
                  <w:noWrap/>
                  <w:vAlign w:val="center"/>
                  <w:hideMark/>
                </w:tcPr>
                <w:p w:rsidR="00056166" w:rsidRPr="00056166" w:rsidRDefault="00056166" w:rsidP="00056166">
                  <w:pPr>
                    <w:bidi/>
                    <w:spacing w:after="0" w:line="240" w:lineRule="auto"/>
                    <w:jc w:val="center"/>
                    <w:rPr>
                      <w:rFonts w:ascii="Times New Roman" w:eastAsia="Times New Roman" w:hAnsi="Times New Roman" w:cs="Times New Roman"/>
                    </w:rPr>
                  </w:pPr>
                  <w:r w:rsidRPr="00056166">
                    <w:rPr>
                      <w:rFonts w:ascii="Times New Roman" w:eastAsia="Times New Roman" w:hAnsi="Times New Roman" w:cs="Times New Roman"/>
                      <w:rtl/>
                    </w:rPr>
                    <w:lastRenderedPageBreak/>
                    <w:t> </w:t>
                  </w:r>
                </w:p>
              </w:tc>
              <w:tc>
                <w:tcPr>
                  <w:tcW w:w="7950" w:type="dxa"/>
                  <w:noWrap/>
                  <w:vAlign w:val="center"/>
                  <w:hideMark/>
                </w:tcPr>
                <w:p w:rsidR="00056166" w:rsidRPr="00056166" w:rsidRDefault="00056166" w:rsidP="00056166">
                  <w:pPr>
                    <w:bidi/>
                    <w:spacing w:after="0" w:line="240" w:lineRule="auto"/>
                    <w:rPr>
                      <w:rFonts w:ascii="Times New Roman" w:eastAsia="Times New Roman" w:hAnsi="Times New Roman" w:cs="Times New Roman"/>
                      <w:rtl/>
                    </w:rPr>
                  </w:pPr>
                  <w:r w:rsidRPr="00056166">
                    <w:rPr>
                      <w:rFonts w:ascii="Times New Roman" w:eastAsia="Times New Roman" w:hAnsi="Times New Roman" w:cs="Times New Roman"/>
                    </w:rPr>
                    <w:pict>
                      <v:rect id="_x0000_i1025" style="width:0;height:1.5pt" o:hralign="center" o:hrstd="t" o:hr="t" fillcolor="#a0a0a0" stroked="f"/>
                    </w:pict>
                  </w:r>
                </w:p>
                <w:p w:rsidR="00056166" w:rsidRPr="00056166" w:rsidRDefault="00056166" w:rsidP="00056166">
                  <w:pPr>
                    <w:bidi/>
                    <w:spacing w:after="0" w:line="240" w:lineRule="auto"/>
                    <w:rPr>
                      <w:rFonts w:ascii="Times New Roman" w:eastAsia="Times New Roman" w:hAnsi="Times New Roman" w:cs="Times New Roman"/>
                      <w:rtl/>
                    </w:rPr>
                  </w:pPr>
                  <w:r w:rsidRPr="00056166">
                    <w:rPr>
                      <w:rFonts w:ascii="Times New Roman" w:eastAsia="Times New Roman" w:hAnsi="Times New Roman" w:cs="Times New Roman"/>
                      <w:sz w:val="8"/>
                      <w:szCs w:val="8"/>
                      <w:rtl/>
                    </w:rPr>
                    <w:br/>
                  </w:r>
                  <w:r w:rsidRPr="00056166">
                    <w:rPr>
                      <w:rFonts w:ascii="Arial" w:eastAsia="Times New Roman" w:hAnsi="Arial" w:cs="Arial"/>
                      <w:color w:val="8B0000"/>
                      <w:rtl/>
                    </w:rPr>
                    <w:t xml:space="preserve">חוזר </w:t>
                  </w:r>
                  <w:proofErr w:type="spellStart"/>
                  <w:r w:rsidRPr="00056166">
                    <w:rPr>
                      <w:rFonts w:ascii="Arial" w:eastAsia="Times New Roman" w:hAnsi="Arial" w:cs="Arial"/>
                      <w:color w:val="8B0000"/>
                      <w:rtl/>
                    </w:rPr>
                    <w:t>מנכ</w:t>
                  </w:r>
                  <w:proofErr w:type="spellEnd"/>
                  <w:r w:rsidRPr="00056166">
                    <w:rPr>
                      <w:rFonts w:ascii="Arial" w:eastAsia="Times New Roman" w:hAnsi="Arial" w:cs="Arial"/>
                      <w:color w:val="8B0000"/>
                      <w:rtl/>
                    </w:rPr>
                    <w:t xml:space="preserve">''ל תשעה/8(ב), י"ב בניסן </w:t>
                  </w:r>
                  <w:proofErr w:type="spellStart"/>
                  <w:r w:rsidRPr="00056166">
                    <w:rPr>
                      <w:rFonts w:ascii="Arial" w:eastAsia="Times New Roman" w:hAnsi="Arial" w:cs="Arial"/>
                      <w:color w:val="8B0000"/>
                      <w:rtl/>
                    </w:rPr>
                    <w:t>התשע"ה</w:t>
                  </w:r>
                  <w:proofErr w:type="spellEnd"/>
                  <w:r w:rsidRPr="00056166">
                    <w:rPr>
                      <w:rFonts w:ascii="Arial" w:eastAsia="Times New Roman" w:hAnsi="Arial" w:cs="Arial"/>
                      <w:color w:val="8B0000"/>
                      <w:rtl/>
                    </w:rPr>
                    <w:t>, 01 באפריל 2015</w:t>
                  </w:r>
                </w:p>
              </w:tc>
            </w:tr>
          </w:tbl>
          <w:p w:rsidR="00056166" w:rsidRPr="00056166" w:rsidRDefault="00056166" w:rsidP="00056166">
            <w:pPr>
              <w:bidi/>
              <w:spacing w:after="0" w:line="240" w:lineRule="auto"/>
              <w:jc w:val="left"/>
              <w:rPr>
                <w:rFonts w:ascii="Arial" w:eastAsia="Times New Roman" w:hAnsi="Arial" w:cs="Arial"/>
                <w:rtl/>
              </w:rPr>
            </w:pPr>
          </w:p>
        </w:tc>
      </w:tr>
    </w:tbl>
    <w:p w:rsidR="003758D0" w:rsidRPr="00056166" w:rsidRDefault="00313EEA" w:rsidP="002665CF">
      <w:pPr>
        <w:bidi/>
        <w:jc w:val="left"/>
        <w:rPr>
          <w:rFonts w:asciiTheme="minorBidi" w:hAnsiTheme="minorBidi"/>
          <w:rtl/>
        </w:rPr>
      </w:pPr>
    </w:p>
    <w:sectPr w:rsidR="003758D0" w:rsidRPr="00056166" w:rsidSect="00D134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66"/>
    <w:rsid w:val="00056166"/>
    <w:rsid w:val="00103BF0"/>
    <w:rsid w:val="002665CF"/>
    <w:rsid w:val="00313EEA"/>
    <w:rsid w:val="00323498"/>
    <w:rsid w:val="0063740A"/>
    <w:rsid w:val="008B1417"/>
    <w:rsid w:val="00D134D6"/>
    <w:rsid w:val="00D55078"/>
    <w:rsid w:val="00E304AE"/>
    <w:rsid w:val="00E90AC2"/>
    <w:rsid w:val="00F24F1E"/>
    <w:rsid w:val="00F74383"/>
    <w:rsid w:val="00FC50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2717C"/>
  <w15:chartTrackingRefBased/>
  <w15:docId w15:val="{590CB709-9621-4105-917C-1DBEA423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5CF"/>
    <w:pPr>
      <w:jc w:val="right"/>
    </w:pPr>
  </w:style>
  <w:style w:type="paragraph" w:styleId="1">
    <w:name w:val="heading 1"/>
    <w:basedOn w:val="a"/>
    <w:next w:val="a"/>
    <w:link w:val="10"/>
    <w:uiPriority w:val="9"/>
    <w:qFormat/>
    <w:rsid w:val="00D55078"/>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2">
    <w:name w:val="heading 2"/>
    <w:basedOn w:val="a"/>
    <w:next w:val="a"/>
    <w:link w:val="20"/>
    <w:uiPriority w:val="9"/>
    <w:unhideWhenUsed/>
    <w:qFormat/>
    <w:rsid w:val="00E304AE"/>
    <w:pPr>
      <w:keepNext/>
      <w:keepLines/>
      <w:bidi/>
      <w:spacing w:after="0" w:line="259" w:lineRule="auto"/>
      <w:jc w:val="left"/>
      <w:outlineLvl w:val="1"/>
    </w:pPr>
    <w:rPr>
      <w:rFonts w:asciiTheme="majorHAnsi" w:eastAsiaTheme="majorEastAsia" w:hAnsiTheme="majorHAnsi"/>
      <w:bCs/>
      <w:color w:val="2E74B5" w:themeColor="accent1" w:themeShade="BF"/>
      <w:sz w:val="26"/>
      <w:szCs w:val="28"/>
    </w:rPr>
  </w:style>
  <w:style w:type="paragraph" w:styleId="3">
    <w:name w:val="heading 3"/>
    <w:basedOn w:val="a"/>
    <w:next w:val="a"/>
    <w:link w:val="30"/>
    <w:autoRedefine/>
    <w:uiPriority w:val="9"/>
    <w:unhideWhenUsed/>
    <w:qFormat/>
    <w:rsid w:val="008B1417"/>
    <w:pPr>
      <w:keepNext/>
      <w:keepLines/>
      <w:spacing w:before="40" w:after="0"/>
      <w:outlineLvl w:val="2"/>
    </w:pPr>
    <w:rPr>
      <w:rFonts w:asciiTheme="majorHAnsi" w:eastAsiaTheme="majorEastAsia" w:hAnsiTheme="majorHAnsi"/>
      <w:bCs/>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55078"/>
    <w:rPr>
      <w:rFonts w:asciiTheme="majorHAnsi" w:eastAsiaTheme="majorEastAsia" w:hAnsiTheme="majorHAnsi"/>
      <w:color w:val="2E74B5" w:themeColor="accent1" w:themeShade="BF"/>
      <w:sz w:val="32"/>
      <w:szCs w:val="32"/>
    </w:rPr>
  </w:style>
  <w:style w:type="character" w:customStyle="1" w:styleId="20">
    <w:name w:val="כותרת 2 תו"/>
    <w:basedOn w:val="a0"/>
    <w:link w:val="2"/>
    <w:uiPriority w:val="9"/>
    <w:rsid w:val="00E304AE"/>
    <w:rPr>
      <w:rFonts w:asciiTheme="majorHAnsi" w:eastAsiaTheme="majorEastAsia" w:hAnsiTheme="majorHAnsi"/>
      <w:bCs/>
      <w:color w:val="2E74B5" w:themeColor="accent1" w:themeShade="BF"/>
      <w:sz w:val="26"/>
      <w:szCs w:val="28"/>
    </w:rPr>
  </w:style>
  <w:style w:type="character" w:customStyle="1" w:styleId="30">
    <w:name w:val="כותרת 3 תו"/>
    <w:basedOn w:val="a0"/>
    <w:link w:val="3"/>
    <w:uiPriority w:val="9"/>
    <w:rsid w:val="008B1417"/>
    <w:rPr>
      <w:rFonts w:asciiTheme="majorHAnsi" w:eastAsiaTheme="majorEastAsia" w:hAnsiTheme="majorHAnsi"/>
      <w:bCs/>
      <w:color w:val="1F4D78" w:themeColor="accent1" w:themeShade="7F"/>
      <w:sz w:val="24"/>
      <w:szCs w:val="24"/>
    </w:rPr>
  </w:style>
  <w:style w:type="character" w:customStyle="1" w:styleId="titlehk">
    <w:name w:val="titlehk"/>
    <w:basedOn w:val="a0"/>
    <w:rsid w:val="00056166"/>
  </w:style>
  <w:style w:type="character" w:customStyle="1" w:styleId="subtitlehk">
    <w:name w:val="subtitlehk"/>
    <w:basedOn w:val="a0"/>
    <w:rsid w:val="00056166"/>
  </w:style>
  <w:style w:type="character" w:customStyle="1" w:styleId="seifhk">
    <w:name w:val="seifhk"/>
    <w:basedOn w:val="a0"/>
    <w:rsid w:val="00056166"/>
  </w:style>
  <w:style w:type="character" w:styleId="Hyperlink">
    <w:name w:val="Hyperlink"/>
    <w:basedOn w:val="a0"/>
    <w:uiPriority w:val="99"/>
    <w:semiHidden/>
    <w:unhideWhenUsed/>
    <w:rsid w:val="00056166"/>
    <w:rPr>
      <w:color w:val="0000FF"/>
      <w:u w:val="single"/>
    </w:rPr>
  </w:style>
  <w:style w:type="character" w:styleId="a3">
    <w:name w:val="Strong"/>
    <w:basedOn w:val="a0"/>
    <w:uiPriority w:val="22"/>
    <w:qFormat/>
    <w:rsid w:val="00056166"/>
    <w:rPr>
      <w:b/>
      <w:bCs/>
    </w:rPr>
  </w:style>
  <w:style w:type="paragraph" w:styleId="NormalWeb">
    <w:name w:val="Normal (Web)"/>
    <w:basedOn w:val="a"/>
    <w:uiPriority w:val="99"/>
    <w:semiHidden/>
    <w:unhideWhenUsed/>
    <w:rsid w:val="00056166"/>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datehk">
    <w:name w:val="datehk"/>
    <w:basedOn w:val="a0"/>
    <w:rsid w:val="00056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943006">
      <w:bodyDiv w:val="1"/>
      <w:marLeft w:val="0"/>
      <w:marRight w:val="0"/>
      <w:marTop w:val="0"/>
      <w:marBottom w:val="0"/>
      <w:divBdr>
        <w:top w:val="none" w:sz="0" w:space="0" w:color="auto"/>
        <w:left w:val="none" w:sz="0" w:space="0" w:color="auto"/>
        <w:bottom w:val="none" w:sz="0" w:space="0" w:color="auto"/>
        <w:right w:val="none" w:sz="0" w:space="0" w:color="auto"/>
      </w:divBdr>
      <w:divsChild>
        <w:div w:id="607852176">
          <w:marLeft w:val="75"/>
          <w:marRight w:val="0"/>
          <w:marTop w:val="150"/>
          <w:marBottom w:val="0"/>
          <w:divBdr>
            <w:top w:val="single" w:sz="6" w:space="0" w:color="000000"/>
            <w:left w:val="single" w:sz="6" w:space="0" w:color="000000"/>
            <w:bottom w:val="single" w:sz="6" w:space="0" w:color="000000"/>
            <w:right w:val="single" w:sz="6"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ash@education.gov.il" TargetMode="External"/><Relationship Id="rId3" Type="http://schemas.openxmlformats.org/officeDocument/2006/relationships/webSettings" Target="webSettings.xml"/><Relationship Id="rId7" Type="http://schemas.openxmlformats.org/officeDocument/2006/relationships/hyperlink" Target="https://meyda.education.gov.il/files/hozermankal/K-2014-5-1-1-2-42.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yda.education.gov.il/files/hozermankal/K-2012-2-4-2-4-9.docx" TargetMode="External"/><Relationship Id="rId11" Type="http://schemas.openxmlformats.org/officeDocument/2006/relationships/theme" Target="theme/theme1.xml"/><Relationship Id="rId5" Type="http://schemas.openxmlformats.org/officeDocument/2006/relationships/hyperlink" Target="http://apps.education.gov.il/Mankal/Horaa.aspx?siduri=100" TargetMode="External"/><Relationship Id="rId10" Type="http://schemas.openxmlformats.org/officeDocument/2006/relationships/fontTable" Target="fontTable.xml"/><Relationship Id="rId4" Type="http://schemas.openxmlformats.org/officeDocument/2006/relationships/hyperlink" Target="http://apps.education.gov.il/Mankal/Horaa.aspx?siduri=132" TargetMode="External"/><Relationship Id="rId9" Type="http://schemas.openxmlformats.org/officeDocument/2006/relationships/hyperlink" Target="https://meyda.education.gov.il/files/hozermankal/K-2015-8-2-2-1-15.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1798</Words>
  <Characters>8990</Characters>
  <Application>Microsoft Office Word</Application>
  <DocSecurity>0</DocSecurity>
  <Lines>74</Lines>
  <Paragraphs>21</Paragraphs>
  <ScaleCrop>false</ScaleCrop>
  <HeadingPairs>
    <vt:vector size="2" baseType="variant">
      <vt:variant>
        <vt:lpstr>שם</vt:lpstr>
      </vt:variant>
      <vt:variant>
        <vt:i4>1</vt:i4>
      </vt:variant>
    </vt:vector>
  </HeadingPairs>
  <TitlesOfParts>
    <vt:vector size="1" baseType="lpstr">
      <vt:lpstr/>
    </vt:vector>
  </TitlesOfParts>
  <Company>MOE</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איילת רייך</dc:creator>
  <cp:keywords/>
  <dc:description/>
  <cp:lastModifiedBy>איילת רייך</cp:lastModifiedBy>
  <cp:revision>2</cp:revision>
  <dcterms:created xsi:type="dcterms:W3CDTF">2023-03-19T07:45:00Z</dcterms:created>
  <dcterms:modified xsi:type="dcterms:W3CDTF">2023-03-19T08:25:00Z</dcterms:modified>
</cp:coreProperties>
</file>