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3D" w:rsidRPr="002F1330" w:rsidRDefault="00B84A72" w:rsidP="002F1330">
      <w:pPr>
        <w:pStyle w:val="a9"/>
        <w:jc w:val="right"/>
        <w:rPr>
          <w:rFonts w:cs="David"/>
          <w:sz w:val="24"/>
          <w:szCs w:val="24"/>
          <w:rtl/>
        </w:rPr>
      </w:pPr>
      <w:r w:rsidRPr="002F1330">
        <w:rPr>
          <w:rFonts w:cs="David"/>
          <w:sz w:val="24"/>
          <w:szCs w:val="24"/>
        </w:rPr>
        <w:fldChar w:fldCharType="begin"/>
      </w:r>
      <w:r w:rsidRPr="002F1330">
        <w:rPr>
          <w:rFonts w:cs="David"/>
          <w:sz w:val="24"/>
          <w:szCs w:val="24"/>
        </w:rPr>
        <w:instrText xml:space="preserve"> DOCPROPERTY  DocDateHeb  \* MERGEFORMAT </w:instrText>
      </w:r>
      <w:r w:rsidRPr="002F1330">
        <w:rPr>
          <w:rFonts w:cs="David"/>
          <w:sz w:val="24"/>
          <w:szCs w:val="24"/>
        </w:rPr>
        <w:fldChar w:fldCharType="separate"/>
      </w:r>
      <w:r w:rsidR="000C0FDF">
        <w:rPr>
          <w:rFonts w:cs="David" w:hint="cs"/>
          <w:sz w:val="24"/>
          <w:szCs w:val="24"/>
          <w:rtl/>
        </w:rPr>
        <w:t>ד' באדר א' תשפ"ד</w:t>
      </w:r>
      <w:r w:rsidRPr="002F1330">
        <w:rPr>
          <w:rFonts w:cs="David"/>
          <w:sz w:val="24"/>
          <w:szCs w:val="24"/>
        </w:rPr>
        <w:fldChar w:fldCharType="end"/>
      </w:r>
    </w:p>
    <w:p w:rsidR="00B84A72" w:rsidRPr="002F1330" w:rsidRDefault="00B84A72" w:rsidP="002F1330">
      <w:pPr>
        <w:pStyle w:val="a9"/>
        <w:jc w:val="right"/>
        <w:rPr>
          <w:rFonts w:cs="David"/>
          <w:sz w:val="24"/>
          <w:szCs w:val="24"/>
          <w:rtl/>
        </w:rPr>
      </w:pPr>
      <w:r w:rsidRPr="002F1330">
        <w:rPr>
          <w:rFonts w:cs="David"/>
          <w:sz w:val="24"/>
          <w:szCs w:val="24"/>
        </w:rPr>
        <w:fldChar w:fldCharType="begin"/>
      </w:r>
      <w:r w:rsidRPr="002F1330">
        <w:rPr>
          <w:rFonts w:cs="David"/>
          <w:sz w:val="24"/>
          <w:szCs w:val="24"/>
        </w:rPr>
        <w:instrText xml:space="preserve"> DOCPROPERTY  DocDateEng  \* MERGEFORMAT </w:instrText>
      </w:r>
      <w:r w:rsidRPr="002F1330">
        <w:rPr>
          <w:rFonts w:cs="David"/>
          <w:sz w:val="24"/>
          <w:szCs w:val="24"/>
        </w:rPr>
        <w:fldChar w:fldCharType="separate"/>
      </w:r>
      <w:r w:rsidR="000C0FDF">
        <w:rPr>
          <w:rFonts w:cs="David" w:hint="cs"/>
          <w:sz w:val="24"/>
          <w:szCs w:val="24"/>
          <w:rtl/>
        </w:rPr>
        <w:t>13 בפברואר 2024</w:t>
      </w:r>
      <w:r w:rsidRPr="002F1330">
        <w:rPr>
          <w:rFonts w:cs="David"/>
          <w:sz w:val="24"/>
          <w:szCs w:val="24"/>
        </w:rPr>
        <w:fldChar w:fldCharType="end"/>
      </w:r>
    </w:p>
    <w:p w:rsidR="00B84A72" w:rsidRPr="002F1330" w:rsidRDefault="00454E19" w:rsidP="002F1330">
      <w:pPr>
        <w:pStyle w:val="a9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סימוכין: </w:t>
      </w:r>
      <w:r w:rsidR="00B84A72" w:rsidRPr="002F1330">
        <w:rPr>
          <w:rFonts w:cs="David"/>
          <w:sz w:val="24"/>
          <w:szCs w:val="24"/>
          <w:rtl/>
        </w:rPr>
        <w:fldChar w:fldCharType="begin"/>
      </w:r>
      <w:r w:rsidR="00B84A72" w:rsidRPr="002F1330">
        <w:rPr>
          <w:rFonts w:cs="David"/>
          <w:sz w:val="24"/>
          <w:szCs w:val="24"/>
          <w:rtl/>
        </w:rPr>
        <w:instrText xml:space="preserve"> </w:instrText>
      </w:r>
      <w:r w:rsidR="00B84A72" w:rsidRPr="002F1330">
        <w:rPr>
          <w:rFonts w:cs="David" w:hint="cs"/>
          <w:sz w:val="24"/>
          <w:szCs w:val="24"/>
        </w:rPr>
        <w:instrText>DOCPROPERTY  DocNumber  \* MERGEFORMAT</w:instrText>
      </w:r>
      <w:r w:rsidR="00B84A72" w:rsidRPr="002F1330">
        <w:rPr>
          <w:rFonts w:cs="David"/>
          <w:sz w:val="24"/>
          <w:szCs w:val="24"/>
          <w:rtl/>
        </w:rPr>
        <w:instrText xml:space="preserve"> </w:instrText>
      </w:r>
      <w:r w:rsidR="00B84A72" w:rsidRPr="002F1330">
        <w:rPr>
          <w:rFonts w:cs="David"/>
          <w:sz w:val="24"/>
          <w:szCs w:val="24"/>
          <w:rtl/>
        </w:rPr>
        <w:fldChar w:fldCharType="separate"/>
      </w:r>
      <w:r w:rsidR="000C0FDF">
        <w:rPr>
          <w:rFonts w:cs="David" w:hint="cs"/>
          <w:sz w:val="24"/>
          <w:szCs w:val="24"/>
          <w:rtl/>
        </w:rPr>
        <w:t>2000-1038-2024-0000299</w:t>
      </w:r>
      <w:r w:rsidR="00B84A72" w:rsidRPr="002F1330">
        <w:rPr>
          <w:rFonts w:cs="David"/>
          <w:sz w:val="24"/>
          <w:szCs w:val="24"/>
          <w:rtl/>
        </w:rPr>
        <w:fldChar w:fldCharType="end"/>
      </w:r>
    </w:p>
    <w:p w:rsidR="00B84A72" w:rsidRDefault="00B84A72" w:rsidP="00D01F0F">
      <w:pPr>
        <w:pStyle w:val="a9"/>
        <w:spacing w:after="120"/>
        <w:jc w:val="right"/>
        <w:rPr>
          <w:rFonts w:cs="David"/>
          <w:b/>
          <w:bCs/>
          <w:sz w:val="24"/>
          <w:szCs w:val="24"/>
          <w:rtl/>
        </w:rPr>
      </w:pPr>
    </w:p>
    <w:p w:rsidR="006F1677" w:rsidRPr="008F3AF5" w:rsidRDefault="006F1677" w:rsidP="006F1677">
      <w:pPr>
        <w:spacing w:after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:rsidR="008F3AF5" w:rsidRDefault="008F3AF5" w:rsidP="008735BA">
      <w:pPr>
        <w:spacing w:after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:rsidR="008735BA" w:rsidRPr="008F3AF5" w:rsidRDefault="008735BA" w:rsidP="008735BA">
      <w:pPr>
        <w:spacing w:after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8F3AF5"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הנחיות לעבודה עם </w:t>
      </w:r>
      <w:r w:rsidRPr="008F3AF5">
        <w:rPr>
          <w:rFonts w:ascii="Arial" w:eastAsia="Calibri" w:hAnsi="Arial"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>מחוננים ומצטיינים</w:t>
      </w:r>
      <w:r w:rsidRPr="008F3AF5"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בשעת חירום</w:t>
      </w:r>
      <w:r w:rsidRPr="008F3AF5">
        <w:rPr>
          <w:rFonts w:ascii="Arial" w:eastAsia="Calibri" w:hAnsi="Arial"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F3AF5"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  <w:t>–</w:t>
      </w:r>
      <w:r w:rsidRPr="008F3AF5">
        <w:rPr>
          <w:rFonts w:ascii="Arial" w:eastAsia="Calibri" w:hAnsi="Arial"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</w:p>
    <w:p w:rsidR="006F1677" w:rsidRDefault="008735BA" w:rsidP="008735BA">
      <w:pPr>
        <w:spacing w:after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8F3AF5">
        <w:rPr>
          <w:rFonts w:ascii="Arial" w:eastAsia="Calibri" w:hAnsi="Arial" w:cs="Arial"/>
          <w:b/>
          <w:bCs/>
          <w:kern w:val="2"/>
          <w:sz w:val="28"/>
          <w:szCs w:val="28"/>
          <w:u w:val="single"/>
          <w:rtl/>
          <w14:ligatures w14:val="standardContextual"/>
        </w:rPr>
        <w:t>על פי העקרונות הפדגוגיים מחזקי החוסן</w:t>
      </w:r>
    </w:p>
    <w:p w:rsidR="006F1677" w:rsidRPr="006F1677" w:rsidRDefault="006F1677" w:rsidP="006F1677">
      <w:pPr>
        <w:spacing w:after="0"/>
        <w:jc w:val="center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</w:p>
    <w:p w:rsidR="008F3AF5" w:rsidRDefault="008F3AF5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המיטביות הפסיכולוגית של הילד המחונן תלויה ביצירת סביבה חינוכית לימודית מתאימה, </w:t>
      </w: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הבריאות החברתית והרגשית שלו, קשורה בקשר ישיר למתן מענה לצרכים הקוגניטיביים שלו.</w:t>
      </w: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התלמידים המחוננים והמצטיינים הינם בעלי יכולות ומאפיינים ייחודיים, </w:t>
      </w:r>
      <w:r w:rsidRPr="006F1677"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  <w:t xml:space="preserve">אשר מועצמים  </w:t>
      </w:r>
      <w:r w:rsidRPr="006F1677">
        <w:rPr>
          <w:rFonts w:ascii="Calibri" w:eastAsia="Calibri" w:hAnsi="Calibri" w:cs="Arial" w:hint="cs"/>
          <w:b/>
          <w:bCs/>
          <w:kern w:val="2"/>
          <w:sz w:val="24"/>
          <w:szCs w:val="24"/>
          <w:rtl/>
          <w14:ligatures w14:val="standardContextual"/>
        </w:rPr>
        <w:t xml:space="preserve">ומקצינים </w:t>
      </w:r>
      <w:r w:rsidRPr="006F1677"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  <w:t>בזמ</w:t>
      </w:r>
      <w:r w:rsidRPr="006F1677">
        <w:rPr>
          <w:rFonts w:ascii="Calibri" w:eastAsia="Calibri" w:hAnsi="Calibri" w:cs="Arial" w:hint="cs"/>
          <w:b/>
          <w:bCs/>
          <w:kern w:val="2"/>
          <w:sz w:val="24"/>
          <w:szCs w:val="24"/>
          <w:rtl/>
          <w14:ligatures w14:val="standardContextual"/>
        </w:rPr>
        <w:t xml:space="preserve">ני </w:t>
      </w:r>
      <w:r w:rsidRPr="006F1677"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  <w:t>חירום</w:t>
      </w: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.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הם זקוקים </w:t>
      </w: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ל</w:t>
      </w: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>מענה הוליסטי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 מותאם: </w:t>
      </w: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קוגניטיבי, רגשי וחברתי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ב</w:t>
      </w: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שגרה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וביתר שאת בעתות חירום.</w:t>
      </w: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  <w:r w:rsidRPr="006F1677"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  <w:t xml:space="preserve">יש חשיבות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רבה לגלות רגישות למאפיינים ייחודיים: רגישות יתר; פער בין יכולות קוגניטיביות ליכולות רגשיות; צורך לחקור, להשיג ידע ולרדת לעומקן של בעיות</w:t>
      </w:r>
      <w:r w:rsidRPr="006F1677">
        <w:rPr>
          <w:rFonts w:ascii="Calibri" w:eastAsia="Calibri" w:hAnsi="Calibri" w:cs="Arial" w:hint="cs"/>
          <w:kern w:val="2"/>
          <w:sz w:val="24"/>
          <w:szCs w:val="24"/>
          <w14:ligatures w14:val="standardContextual"/>
        </w:rPr>
        <w:t xml:space="preserve"> </w:t>
      </w:r>
      <w:r w:rsidRPr="006F1677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 אשר עלולים לגרום לחשיפה לתכנים ולהסקת מסקנות המסכנת את חוסנם ובריאותם הנפשית. </w:t>
      </w: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</w:p>
    <w:p w:rsidR="006F1677" w:rsidRPr="006F1677" w:rsidRDefault="006F1677" w:rsidP="006F1677">
      <w:pPr>
        <w:spacing w:after="0"/>
        <w:jc w:val="both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</w:p>
    <w:p w:rsidR="006F1677" w:rsidRPr="006F1677" w:rsidRDefault="006F1677" w:rsidP="00883031">
      <w:pPr>
        <w:spacing w:after="0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 w:rsidRPr="006F1677">
        <w:rPr>
          <w:rFonts w:ascii="Calibri" w:eastAsia="Calibri" w:hAnsi="Calibri" w:cs="Arial" w:hint="cs"/>
          <w:b/>
          <w:bCs/>
          <w:kern w:val="2"/>
          <w:sz w:val="24"/>
          <w:szCs w:val="24"/>
          <w:rtl/>
          <w14:ligatures w14:val="standardContextual"/>
        </w:rPr>
        <w:t>הנחיות על פי העקרונות הפדגוגיים מחזקי החוסן</w:t>
      </w:r>
      <w:r w:rsidR="00883031">
        <w:rPr>
          <w:rFonts w:ascii="Calibri" w:eastAsia="Calibri" w:hAnsi="Calibri" w:cs="Arial" w:hint="cs"/>
          <w:b/>
          <w:bCs/>
          <w:kern w:val="2"/>
          <w:sz w:val="24"/>
          <w:szCs w:val="24"/>
          <w:rtl/>
          <w14:ligatures w14:val="standardContextual"/>
        </w:rPr>
        <w:t>:</w:t>
      </w:r>
    </w:p>
    <w:p w:rsidR="006F1677" w:rsidRPr="008F3AF5" w:rsidRDefault="006F1677" w:rsidP="00D2081D">
      <w:pPr>
        <w:pStyle w:val="aa"/>
        <w:numPr>
          <w:ilvl w:val="0"/>
          <w:numId w:val="2"/>
        </w:numPr>
        <w:spacing w:after="0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להמשיך ככל הניתן את הלימודים בתכניות ייעודיו</w:t>
      </w:r>
      <w:r w:rsidRPr="008F3AF5">
        <w:rPr>
          <w:rFonts w:ascii="Calibri" w:eastAsia="Calibri" w:hAnsi="Calibri" w:cs="Arial" w:hint="eastAsia"/>
          <w:kern w:val="2"/>
          <w:sz w:val="24"/>
          <w:szCs w:val="24"/>
          <w:rtl/>
          <w14:ligatures w14:val="standardContextual"/>
        </w:rPr>
        <w:t>ת</w:t>
      </w: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 המופעלות על ידי המחוזות והאגף לתלמידים מחוננים ומצטיינים. במרכזי המחוננים והמצטיינים פועל צוות המכיר את התלמידים וזמין לתת מענה גם במרכזי הקליטה.</w:t>
      </w:r>
    </w:p>
    <w:p w:rsidR="006F1677" w:rsidRPr="008F3AF5" w:rsidRDefault="006F1677" w:rsidP="00D2081D">
      <w:pPr>
        <w:pStyle w:val="aa"/>
        <w:numPr>
          <w:ilvl w:val="0"/>
          <w:numId w:val="2"/>
        </w:numPr>
        <w:spacing w:after="0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לאפשר למידה בחברת תלמידים הדומים להם, חברת השווים, בלמידה רב גילית.</w:t>
      </w:r>
    </w:p>
    <w:p w:rsidR="006F1677" w:rsidRPr="008F3AF5" w:rsidRDefault="006F1677" w:rsidP="00D2081D">
      <w:pPr>
        <w:pStyle w:val="aa"/>
        <w:numPr>
          <w:ilvl w:val="0"/>
          <w:numId w:val="2"/>
        </w:numPr>
        <w:spacing w:after="0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לספק לתלמידים תכנים ופעילויות לימודיות מאתגרות בהתאם ליכולותיהם הגבוהות.  </w:t>
      </w:r>
    </w:p>
    <w:p w:rsidR="006F1677" w:rsidRPr="008F3AF5" w:rsidRDefault="006F1677" w:rsidP="00D2081D">
      <w:pPr>
        <w:pStyle w:val="aa"/>
        <w:numPr>
          <w:ilvl w:val="0"/>
          <w:numId w:val="2"/>
        </w:numPr>
        <w:spacing w:after="0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>לאפשר לתלמידים אוטונומיה בבחירת תחומי הדעת, קצב הלמידה ושותפי הלמידה.</w:t>
      </w:r>
    </w:p>
    <w:p w:rsidR="006F1677" w:rsidRPr="008F3AF5" w:rsidRDefault="006F1677" w:rsidP="00D2081D">
      <w:pPr>
        <w:pStyle w:val="aa"/>
        <w:numPr>
          <w:ilvl w:val="0"/>
          <w:numId w:val="2"/>
        </w:numPr>
        <w:spacing w:after="0"/>
        <w:rPr>
          <w:rFonts w:ascii="Calibri" w:eastAsia="Calibri" w:hAnsi="Calibri" w:cs="Arial"/>
          <w:kern w:val="2"/>
          <w:sz w:val="24"/>
          <w:szCs w:val="24"/>
          <w:rtl/>
          <w14:ligatures w14:val="standardContextual"/>
        </w:rPr>
      </w:pPr>
      <w:r w:rsidRPr="008F3AF5">
        <w:rPr>
          <w:rFonts w:ascii="Calibri" w:eastAsia="Calibri" w:hAnsi="Calibri" w:cs="Arial" w:hint="cs"/>
          <w:kern w:val="2"/>
          <w:sz w:val="24"/>
          <w:szCs w:val="24"/>
          <w:rtl/>
          <w14:ligatures w14:val="standardContextual"/>
        </w:rPr>
        <w:t xml:space="preserve">לאפשר לתלמידים להיות פעילים ויוזמים בעבור עצמם ובעבור אחרים בסביבתם, ולעודד אותם להעלות רעיונות, המצאות, ופתרונות יצירתיים לבעיות היומיום. </w:t>
      </w:r>
    </w:p>
    <w:p w:rsidR="000C0FDF" w:rsidRPr="00D01F0F" w:rsidRDefault="000C0FDF" w:rsidP="008F3AF5">
      <w:pPr>
        <w:pStyle w:val="a9"/>
        <w:spacing w:after="120"/>
        <w:rPr>
          <w:rFonts w:cs="David" w:hint="cs"/>
          <w:b/>
          <w:bCs/>
          <w:sz w:val="24"/>
          <w:szCs w:val="24"/>
          <w:rtl/>
        </w:rPr>
      </w:pPr>
    </w:p>
    <w:sectPr w:rsidR="000C0FDF" w:rsidRPr="00D01F0F" w:rsidSect="00D01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1" w:right="1800" w:bottom="1440" w:left="1800" w:header="73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C9" w:rsidRDefault="005E3CC9" w:rsidP="008967B5">
      <w:pPr>
        <w:spacing w:after="0" w:line="240" w:lineRule="auto"/>
      </w:pPr>
      <w:r>
        <w:separator/>
      </w:r>
    </w:p>
  </w:endnote>
  <w:endnote w:type="continuationSeparator" w:id="0">
    <w:p w:rsidR="005E3CC9" w:rsidRDefault="005E3CC9" w:rsidP="0089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2D" w:rsidRDefault="00C43A2D">
    <w:pPr>
      <w:pStyle w:val="a5"/>
    </w:pPr>
    <w:r>
      <w:rPr>
        <w:noProof/>
      </w:rPr>
      <w:drawing>
        <wp:inline distT="0" distB="0" distL="0" distR="0">
          <wp:extent cx="1359535" cy="1025525"/>
          <wp:effectExtent l="0" t="0" r="0" b="3175"/>
          <wp:docPr id="1" name="תמונה 1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59535" cy="1025525"/>
          <wp:effectExtent l="0" t="0" r="0" b="3175"/>
          <wp:docPr id="2" name="תמונה 2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59535" cy="1025525"/>
          <wp:effectExtent l="0" t="0" r="0" b="3175"/>
          <wp:docPr id="3" name="תמונה 3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59535" cy="1025525"/>
          <wp:effectExtent l="0" t="0" r="0" b="3175"/>
          <wp:docPr id="4" name="תמונה 4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63287" cy="1022465"/>
          <wp:effectExtent l="0" t="0" r="8890" b="635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ינוך עם שרו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287" cy="102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46" w:rsidRDefault="005E3CC9" w:rsidP="00880946">
    <w:pPr>
      <w:pStyle w:val="BasicParagraph"/>
      <w:spacing w:line="276" w:lineRule="auto"/>
      <w:ind w:left="-624" w:right="-851"/>
      <w:jc w:val="center"/>
      <w:rPr>
        <w:rFonts w:ascii="Arial" w:hAnsi="Arial" w:cs="Arial"/>
        <w:b/>
        <w:bCs/>
        <w:color w:val="3767A8"/>
        <w:sz w:val="18"/>
        <w:szCs w:val="18"/>
      </w:rPr>
    </w:pPr>
    <w:r>
      <w:rPr>
        <w:noProof/>
        <w:lang w:bidi="he-IL"/>
      </w:rPr>
      <w:pict>
        <v:line id="מחבר ישר 9" o:spid="_x0000_s2049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45pt,7.55pt" to="458.75pt,7.55pt" strokecolor="#3767a8" strokeweight=".5pt"/>
      </w:pict>
    </w:r>
  </w:p>
  <w:p w:rsidR="00880946" w:rsidRDefault="00880946" w:rsidP="00880946">
    <w:pPr>
      <w:pStyle w:val="BasicParagraph"/>
      <w:spacing w:line="276" w:lineRule="auto"/>
      <w:ind w:left="-624" w:right="-851"/>
      <w:jc w:val="center"/>
      <w:rPr>
        <w:rFonts w:ascii="Arial" w:hAnsi="Arial" w:cs="Arial"/>
        <w:b/>
        <w:bCs/>
        <w:color w:val="3767A8"/>
        <w:sz w:val="18"/>
        <w:szCs w:val="18"/>
        <w:lang w:bidi="he-IL"/>
      </w:rPr>
    </w:pPr>
    <w:r>
      <w:rPr>
        <w:rFonts w:ascii="Arial" w:hAnsi="Arial" w:cs="Arial"/>
        <w:b/>
        <w:bCs/>
        <w:color w:val="3767A8"/>
        <w:sz w:val="18"/>
        <w:szCs w:val="18"/>
        <w:rtl/>
        <w:lang w:bidi="he-IL"/>
      </w:rPr>
      <w:t>רח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' </w:t>
    </w:r>
    <w:r>
      <w:rPr>
        <w:rFonts w:ascii="Arial" w:hAnsi="Arial" w:cs="Arial"/>
        <w:b/>
        <w:bCs/>
        <w:color w:val="3767A8"/>
        <w:sz w:val="18"/>
        <w:szCs w:val="18"/>
        <w:rtl/>
        <w:lang w:bidi="he-IL"/>
      </w:rPr>
      <w:t xml:space="preserve">דבורה הנביאה 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2, </w:t>
    </w:r>
    <w:r>
      <w:rPr>
        <w:rFonts w:ascii="Arial" w:hAnsi="Arial" w:cs="Arial"/>
        <w:b/>
        <w:bCs/>
        <w:color w:val="3767A8"/>
        <w:sz w:val="18"/>
        <w:szCs w:val="18"/>
        <w:rtl/>
        <w:lang w:bidi="he-IL"/>
      </w:rPr>
      <w:t>ירושלים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; 9510402  </w:t>
    </w:r>
    <w:r>
      <w:rPr>
        <w:rFonts w:ascii="Arial" w:hAnsi="Arial" w:cs="Arial"/>
        <w:b/>
        <w:bCs/>
        <w:color w:val="3767A8"/>
        <w:sz w:val="18"/>
        <w:szCs w:val="18"/>
        <w:rtl/>
        <w:lang w:bidi="he-IL"/>
      </w:rPr>
      <w:t>טל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' </w:t>
    </w:r>
    <w:r>
      <w:rPr>
        <w:rFonts w:ascii="Arial" w:hAnsi="Arial" w:cs="Arial"/>
        <w:b/>
        <w:bCs/>
        <w:color w:val="3767A8"/>
        <w:sz w:val="18"/>
        <w:szCs w:val="18"/>
      </w:rPr>
      <w:t>*6552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 </w:t>
    </w:r>
    <w:r>
      <w:rPr>
        <w:rFonts w:ascii="Arial" w:hAnsi="Arial" w:cs="Arial"/>
        <w:b/>
        <w:bCs/>
        <w:color w:val="3767A8"/>
        <w:sz w:val="18"/>
        <w:szCs w:val="18"/>
        <w:rtl/>
        <w:lang w:bidi="he-IL"/>
      </w:rPr>
      <w:t>או באמצעות פורטל הורים</w:t>
    </w:r>
    <w:r>
      <w:rPr>
        <w:rFonts w:ascii="Arial" w:hAnsi="Arial" w:cs="Arial"/>
        <w:b/>
        <w:bCs/>
        <w:color w:val="3767A8"/>
        <w:sz w:val="18"/>
        <w:szCs w:val="18"/>
        <w:rtl/>
      </w:rPr>
      <w:t xml:space="preserve">|  </w:t>
    </w:r>
    <w:hyperlink r:id="rId1" w:history="1">
      <w:r>
        <w:rPr>
          <w:rStyle w:val="Hyperlink"/>
          <w:rFonts w:ascii="Arial" w:hAnsi="Arial" w:cs="Arial"/>
          <w:b/>
          <w:bCs/>
          <w:sz w:val="18"/>
          <w:szCs w:val="18"/>
        </w:rPr>
        <w:t>http://www.education.gov.il/gifted</w:t>
      </w:r>
    </w:hyperlink>
  </w:p>
  <w:p w:rsidR="00880946" w:rsidRDefault="00880946" w:rsidP="00880946">
    <w:pPr>
      <w:pStyle w:val="BasicParagraph"/>
      <w:tabs>
        <w:tab w:val="left" w:pos="3089"/>
        <w:tab w:val="center" w:pos="4252"/>
      </w:tabs>
      <w:spacing w:line="276" w:lineRule="auto"/>
      <w:jc w:val="center"/>
      <w:rPr>
        <w:rFonts w:ascii="Arial" w:eastAsia="Calibri" w:hAnsi="Arial" w:cs="Arial"/>
        <w:b/>
        <w:bCs/>
        <w:color w:val="3767A8"/>
        <w:sz w:val="18"/>
        <w:szCs w:val="18"/>
        <w:lang w:bidi="he-IL"/>
      </w:rPr>
    </w:pPr>
    <w:bookmarkStart w:id="4" w:name="Titel6"/>
    <w:bookmarkEnd w:id="4"/>
    <w:r>
      <w:rPr>
        <w:rFonts w:ascii="Arial" w:eastAsia="Calibri" w:hAnsi="Arial" w:cs="Arial"/>
        <w:b/>
        <w:bCs/>
        <w:color w:val="3767A8"/>
        <w:sz w:val="18"/>
        <w:szCs w:val="18"/>
        <w:rtl/>
        <w:lang w:bidi="ar-SA"/>
      </w:rPr>
      <w:t>شارع دبورا هنبيئة 2, اورشليم-القدس, 9510402 هاتف</w:t>
    </w:r>
    <w:r>
      <w:rPr>
        <w:rFonts w:ascii="Arial" w:eastAsia="Calibri" w:hAnsi="Arial" w:cs="Arial"/>
        <w:b/>
        <w:bCs/>
        <w:color w:val="3767A8"/>
        <w:sz w:val="18"/>
        <w:szCs w:val="18"/>
        <w:rtl/>
        <w:lang w:bidi="he-IL"/>
      </w:rPr>
      <w:t xml:space="preserve"> 6552*</w:t>
    </w:r>
  </w:p>
  <w:p w:rsidR="00880946" w:rsidRDefault="00880946" w:rsidP="00880946">
    <w:pPr>
      <w:spacing w:after="0"/>
      <w:jc w:val="center"/>
      <w:rPr>
        <w:rFonts w:asciiTheme="majorBidi" w:eastAsia="Calibri" w:hAnsiTheme="majorBidi" w:cstheme="majorBidi"/>
        <w:b/>
        <w:bCs/>
        <w:color w:val="000099"/>
        <w:sz w:val="20"/>
        <w:szCs w:val="20"/>
        <w:rtl/>
      </w:rPr>
    </w:pPr>
    <w:r>
      <w:rPr>
        <w:rFonts w:asciiTheme="majorBidi" w:eastAsia="Calibri" w:hAnsiTheme="majorBidi" w:cstheme="majorBidi"/>
        <w:b/>
        <w:bCs/>
        <w:color w:val="000099"/>
        <w:sz w:val="20"/>
        <w:szCs w:val="20"/>
        <w:rtl/>
      </w:rPr>
      <w:t>מסמך זה עלול להכיל מידע המוגן לפי חוק הגנת הפרטיות – מוסרו שלא כדין עובר עבירה</w:t>
    </w:r>
  </w:p>
  <w:p w:rsidR="00880946" w:rsidRDefault="00880946" w:rsidP="00880946">
    <w:pPr>
      <w:spacing w:after="0"/>
      <w:jc w:val="center"/>
      <w:rPr>
        <w:rFonts w:asciiTheme="majorBidi" w:eastAsia="Calibri" w:hAnsiTheme="majorBidi" w:cstheme="majorBidi"/>
        <w:b/>
        <w:bCs/>
        <w:color w:val="000099"/>
        <w:sz w:val="20"/>
        <w:szCs w:val="20"/>
        <w:rtl/>
      </w:rPr>
    </w:pPr>
  </w:p>
  <w:p w:rsidR="000C0FDF" w:rsidRPr="00880946" w:rsidRDefault="000C0FDF" w:rsidP="00880946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AB" w:rsidRDefault="00C07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C9" w:rsidRDefault="005E3CC9" w:rsidP="008967B5">
      <w:pPr>
        <w:spacing w:after="0" w:line="240" w:lineRule="auto"/>
      </w:pPr>
      <w:r>
        <w:separator/>
      </w:r>
    </w:p>
  </w:footnote>
  <w:footnote w:type="continuationSeparator" w:id="0">
    <w:p w:rsidR="005E3CC9" w:rsidRDefault="005E3CC9" w:rsidP="0089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40" w:rsidRDefault="00C82340">
    <w:pPr>
      <w:pStyle w:val="a3"/>
      <w:rPr>
        <w:rtl/>
      </w:rPr>
    </w:pPr>
    <w:r>
      <w:rPr>
        <w:rFonts w:asciiTheme="minorBidi" w:hAnsiTheme="minorBidi" w:cs="David"/>
        <w:b/>
        <w:bCs/>
        <w:noProof/>
        <w:color w:val="3767A8"/>
        <w:sz w:val="36"/>
        <w:szCs w:val="36"/>
      </w:rPr>
      <w:drawing>
        <wp:inline distT="0" distB="0" distL="0" distR="0">
          <wp:extent cx="2200910" cy="3444875"/>
          <wp:effectExtent l="0" t="0" r="8890" b="3175"/>
          <wp:docPr id="7" name="תמונה 7" descr="C:\Users\kl1031\Desktop\תבניות\לוגו שמ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1031\Desktop\תבניות\לוגו שמא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344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CF" w:rsidRDefault="00B817CF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Theme="minorBidi" w:hAnsiTheme="minorBidi" w:cs="David" w:hint="cs"/>
        <w:b/>
        <w:bCs/>
        <w:color w:val="3767A8"/>
        <w:sz w:val="36"/>
        <w:szCs w:val="36"/>
        <w:rtl/>
      </w:rPr>
      <w:t>מדינת ישראל</w:t>
    </w:r>
  </w:p>
  <w:p w:rsidR="00B817CF" w:rsidRDefault="00D31524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2"/>
        <w:szCs w:val="32"/>
        <w:rtl/>
      </w:rPr>
    </w:pPr>
    <w:bookmarkStart w:id="0" w:name="Titel1"/>
    <w:bookmarkEnd w:id="0"/>
    <w:r>
      <w:rPr>
        <w:rFonts w:asciiTheme="minorBidi" w:hAnsiTheme="minorBidi" w:cs="David"/>
        <w:b/>
        <w:bCs/>
        <w:color w:val="3767A8"/>
        <w:sz w:val="32"/>
        <w:szCs w:val="32"/>
        <w:rtl/>
      </w:rPr>
      <w:t>משרד החינוך</w:t>
    </w:r>
  </w:p>
  <w:p w:rsidR="00B817CF" w:rsidRDefault="00D31524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1" w:name="Titel2"/>
    <w:bookmarkEnd w:id="1"/>
    <w:r>
      <w:rPr>
        <w:rFonts w:asciiTheme="minorBidi" w:hAnsiTheme="minorBidi" w:cs="David"/>
        <w:b/>
        <w:bCs/>
        <w:color w:val="3767A8"/>
        <w:sz w:val="28"/>
        <w:szCs w:val="28"/>
        <w:rtl/>
      </w:rPr>
      <w:t>המינהל הפדגוגי</w:t>
    </w:r>
  </w:p>
  <w:p w:rsidR="00B817CF" w:rsidRDefault="00D31524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2" w:name="Titel3"/>
    <w:bookmarkEnd w:id="2"/>
    <w:r>
      <w:rPr>
        <w:rFonts w:asciiTheme="minorBidi" w:hAnsiTheme="minorBidi" w:cs="David"/>
        <w:b/>
        <w:bCs/>
        <w:color w:val="3767A8"/>
        <w:sz w:val="28"/>
        <w:szCs w:val="28"/>
        <w:rtl/>
      </w:rPr>
      <w:t>האגף לתלמידים מחוננים ומצטיינים</w:t>
    </w:r>
  </w:p>
  <w:p w:rsidR="00B817CF" w:rsidRPr="00B817CF" w:rsidRDefault="00B817CF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3" w:name="Titel4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AB" w:rsidRDefault="00C07D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56AB7"/>
    <w:multiLevelType w:val="hybridMultilevel"/>
    <w:tmpl w:val="B14C5F86"/>
    <w:lvl w:ilvl="0" w:tplc="5106BB72">
      <w:start w:val="1"/>
      <w:numFmt w:val="hebrew1"/>
      <w:lvlText w:val="%1."/>
      <w:lvlJc w:val="left"/>
      <w:pPr>
        <w:ind w:left="848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5E5D5115"/>
    <w:multiLevelType w:val="hybridMultilevel"/>
    <w:tmpl w:val="D098E45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DF"/>
    <w:rsid w:val="000267CE"/>
    <w:rsid w:val="000C0FDF"/>
    <w:rsid w:val="00123CCE"/>
    <w:rsid w:val="0018043F"/>
    <w:rsid w:val="00192A66"/>
    <w:rsid w:val="001E5DD8"/>
    <w:rsid w:val="002562B8"/>
    <w:rsid w:val="00273EDB"/>
    <w:rsid w:val="002A080C"/>
    <w:rsid w:val="002F1330"/>
    <w:rsid w:val="00341171"/>
    <w:rsid w:val="00382E7B"/>
    <w:rsid w:val="003919AA"/>
    <w:rsid w:val="003961A2"/>
    <w:rsid w:val="003E3F99"/>
    <w:rsid w:val="00416E81"/>
    <w:rsid w:val="00454E19"/>
    <w:rsid w:val="004F48BB"/>
    <w:rsid w:val="00501D9A"/>
    <w:rsid w:val="00530E47"/>
    <w:rsid w:val="00563618"/>
    <w:rsid w:val="00567598"/>
    <w:rsid w:val="005A17DA"/>
    <w:rsid w:val="005E1E4D"/>
    <w:rsid w:val="005E3CC9"/>
    <w:rsid w:val="0066164D"/>
    <w:rsid w:val="00662570"/>
    <w:rsid w:val="00690663"/>
    <w:rsid w:val="006F1677"/>
    <w:rsid w:val="007D0530"/>
    <w:rsid w:val="007D0C50"/>
    <w:rsid w:val="007E60A5"/>
    <w:rsid w:val="007F161C"/>
    <w:rsid w:val="008133C8"/>
    <w:rsid w:val="00817DA7"/>
    <w:rsid w:val="00834A6B"/>
    <w:rsid w:val="008735BA"/>
    <w:rsid w:val="00880946"/>
    <w:rsid w:val="00883031"/>
    <w:rsid w:val="008840CB"/>
    <w:rsid w:val="008967B5"/>
    <w:rsid w:val="008C714C"/>
    <w:rsid w:val="008F3AF5"/>
    <w:rsid w:val="009077A5"/>
    <w:rsid w:val="00915736"/>
    <w:rsid w:val="00920522"/>
    <w:rsid w:val="009372E5"/>
    <w:rsid w:val="00995E49"/>
    <w:rsid w:val="00A927CF"/>
    <w:rsid w:val="00AB08D9"/>
    <w:rsid w:val="00AB2304"/>
    <w:rsid w:val="00AC3F77"/>
    <w:rsid w:val="00AD6D4B"/>
    <w:rsid w:val="00B46EB2"/>
    <w:rsid w:val="00B61D8B"/>
    <w:rsid w:val="00B817CF"/>
    <w:rsid w:val="00B84A72"/>
    <w:rsid w:val="00B85A4F"/>
    <w:rsid w:val="00BD3D29"/>
    <w:rsid w:val="00BF3A11"/>
    <w:rsid w:val="00C027BD"/>
    <w:rsid w:val="00C07DAB"/>
    <w:rsid w:val="00C12EEB"/>
    <w:rsid w:val="00C43A2D"/>
    <w:rsid w:val="00C526AB"/>
    <w:rsid w:val="00C82340"/>
    <w:rsid w:val="00C903F4"/>
    <w:rsid w:val="00CB370C"/>
    <w:rsid w:val="00D01F0F"/>
    <w:rsid w:val="00D15F4C"/>
    <w:rsid w:val="00D2081D"/>
    <w:rsid w:val="00D2790D"/>
    <w:rsid w:val="00D31524"/>
    <w:rsid w:val="00D32F05"/>
    <w:rsid w:val="00D71936"/>
    <w:rsid w:val="00DD483A"/>
    <w:rsid w:val="00E112FB"/>
    <w:rsid w:val="00E1572E"/>
    <w:rsid w:val="00E30754"/>
    <w:rsid w:val="00E5491B"/>
    <w:rsid w:val="00E73E99"/>
    <w:rsid w:val="00E9415B"/>
    <w:rsid w:val="00EB6167"/>
    <w:rsid w:val="00EC2FBE"/>
    <w:rsid w:val="00F05531"/>
    <w:rsid w:val="00F3433D"/>
    <w:rsid w:val="00F53142"/>
    <w:rsid w:val="00F81FA7"/>
    <w:rsid w:val="00F91C8E"/>
    <w:rsid w:val="00FB5B87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63E739"/>
  <w15:docId w15:val="{5F6412E6-C7A7-4A2C-91E3-645AE8D6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967B5"/>
  </w:style>
  <w:style w:type="paragraph" w:styleId="a5">
    <w:name w:val="footer"/>
    <w:basedOn w:val="a"/>
    <w:link w:val="a6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967B5"/>
  </w:style>
  <w:style w:type="paragraph" w:styleId="a7">
    <w:name w:val="Balloon Text"/>
    <w:basedOn w:val="a"/>
    <w:link w:val="a8"/>
    <w:uiPriority w:val="99"/>
    <w:semiHidden/>
    <w:unhideWhenUsed/>
    <w:rsid w:val="00C4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A2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7F1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YE"/>
    </w:rPr>
  </w:style>
  <w:style w:type="paragraph" w:styleId="a9">
    <w:name w:val="No Spacing"/>
    <w:uiPriority w:val="1"/>
    <w:qFormat/>
    <w:rsid w:val="00B84A72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0C0FD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gov.il/gift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149\AppData\Roaming\Microsoft\Templates\&#1500;&#1493;&#1490;&#1493;%20&#1502;&#1495;&#1493;&#1504;&#1504;&#1497;&#1501;%20&#1512;&#1497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FF9D11C-1AB5-4177-8AD4-DDECC2FC3B5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מחוננים ריק</Template>
  <TotalTime>13</TotalTime>
  <Pages>1</Pages>
  <Words>241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הנרי איינבינדר</dc:creator>
  <cp:lastModifiedBy>עדה דרורי</cp:lastModifiedBy>
  <cp:revision>12</cp:revision>
  <dcterms:created xsi:type="dcterms:W3CDTF">2018-02-18T13:24:00Z</dcterms:created>
  <dcterms:modified xsi:type="dcterms:W3CDTF">2024-02-13T16:26:00Z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Name">
    <vt:lpwstr/>
  </property>
  <property fmtid="{D5CDD505-2E9C-101B-9397-08002B2CF9AE}" pid="3" name="DocRecipients">
    <vt:lpwstr/>
  </property>
  <property fmtid="{D5CDD505-2E9C-101B-9397-08002B2CF9AE}" pid="4" name="DocObjectName">
    <vt:lpwstr>הנחיות לשעת חירום - פורסמו בחוברת "עטופים באהבה"</vt:lpwstr>
  </property>
  <property fmtid="{D5CDD505-2E9C-101B-9397-08002B2CF9AE}" pid="5" name="DocDateHeb">
    <vt:lpwstr>ד' באדר א' תשפ"ד</vt:lpwstr>
  </property>
  <property fmtid="{D5CDD505-2E9C-101B-9397-08002B2CF9AE}" pid="6" name="DocDateEng">
    <vt:lpwstr>13 בפברואר 2024</vt:lpwstr>
  </property>
  <property fmtid="{D5CDD505-2E9C-101B-9397-08002B2CF9AE}" pid="7" name="DocNumber">
    <vt:lpwstr>2000-1038-2024-0000299</vt:lpwstr>
  </property>
  <property fmtid="{D5CDD505-2E9C-101B-9397-08002B2CF9AE}" pid="8" name="DocFolder">
    <vt:lpwstr>למידה בשעת חירום</vt:lpwstr>
  </property>
  <property fmtid="{D5CDD505-2E9C-101B-9397-08002B2CF9AE}" pid="9" name="DocTo">
    <vt:lpwstr/>
  </property>
  <property fmtid="{D5CDD505-2E9C-101B-9397-08002B2CF9AE}" pid="10" name="DocRecipientsName">
    <vt:lpwstr/>
  </property>
  <property fmtid="{D5CDD505-2E9C-101B-9397-08002B2CF9AE}" pid="11" name="DocSender">
    <vt:lpwstr> עדה דרורי_x000d_</vt:lpwstr>
  </property>
  <property fmtid="{D5CDD505-2E9C-101B-9397-08002B2CF9AE}" pid="12" name="DocSender1">
    <vt:lpwstr>עדה דרורי_x000d_ממונה (המחונן בכיתתו)</vt:lpwstr>
  </property>
  <property fmtid="{D5CDD505-2E9C-101B-9397-08002B2CF9AE}" pid="13" name="DocKeywords">
    <vt:lpwstr/>
  </property>
  <property fmtid="{D5CDD505-2E9C-101B-9397-08002B2CF9AE}" pid="14" name="DocDateEng2">
    <vt:lpwstr>13.02.2024</vt:lpwstr>
  </property>
</Properties>
</file>