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9D2" w14:textId="5010B03F" w:rsidR="006031B0" w:rsidRPr="004316F0" w:rsidRDefault="006031B0" w:rsidP="004316F0">
      <w:pPr>
        <w:spacing w:line="360" w:lineRule="auto"/>
        <w:contextualSpacing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  <w:r w:rsidRPr="004316F0">
        <w:rPr>
          <w:rFonts w:ascii="David" w:hAnsi="David" w:cs="David"/>
          <w:b/>
          <w:bCs/>
          <w:sz w:val="22"/>
          <w:szCs w:val="22"/>
          <w:u w:val="single"/>
          <w:rtl/>
        </w:rPr>
        <w:t>שאלון 5282- דגם תשובות- קיץ תשפ"ה</w:t>
      </w:r>
    </w:p>
    <w:p w14:paraId="145F4D8E" w14:textId="1E9650EF" w:rsidR="006031B0" w:rsidRPr="004316F0" w:rsidRDefault="006031B0" w:rsidP="004316F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2"/>
          <w:szCs w:val="22"/>
          <w:u w:val="single"/>
          <w:rtl/>
        </w:rPr>
      </w:pPr>
      <w:r w:rsidRPr="004316F0">
        <w:rPr>
          <w:rFonts w:ascii="David" w:hAnsi="David" w:cs="David"/>
          <w:sz w:val="22"/>
          <w:szCs w:val="22"/>
          <w:u w:val="single"/>
          <w:rtl/>
        </w:rPr>
        <w:t>פתיחת התפילה</w:t>
      </w:r>
    </w:p>
    <w:p w14:paraId="272EF137" w14:textId="7A73B410" w:rsidR="006031B0" w:rsidRPr="004316F0" w:rsidRDefault="006031B0" w:rsidP="004316F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1) א. ברכה על קיום </w:t>
      </w:r>
      <w:proofErr w:type="spellStart"/>
      <w:r w:rsidRPr="004316F0">
        <w:rPr>
          <w:rFonts w:ascii="David" w:hAnsi="David" w:cs="David"/>
          <w:sz w:val="22"/>
          <w:szCs w:val="22"/>
          <w:rtl/>
        </w:rPr>
        <w:t>המצוה</w:t>
      </w:r>
      <w:proofErr w:type="spellEnd"/>
      <w:r w:rsidRPr="004316F0">
        <w:rPr>
          <w:rFonts w:ascii="David" w:hAnsi="David" w:cs="David"/>
          <w:sz w:val="22"/>
          <w:szCs w:val="22"/>
          <w:rtl/>
        </w:rPr>
        <w:t xml:space="preserve"> [אשר קדשנו במצוותיו וציוונו]. ב. בקשה שהתורה תהיה ערבה  על הלומדים  ג. הודאה על בחירת עם ישראל. [מספיק שנים]</w:t>
      </w:r>
    </w:p>
    <w:p w14:paraId="4EE8A066" w14:textId="6481D7A9" w:rsidR="006031B0" w:rsidRPr="004316F0" w:rsidRDefault="006031B0" w:rsidP="004316F0">
      <w:pPr>
        <w:spacing w:after="0" w:line="360" w:lineRule="auto"/>
        <w:contextualSpacing/>
        <w:jc w:val="both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     </w:t>
      </w:r>
      <w:r w:rsidRPr="004316F0">
        <w:rPr>
          <w:rFonts w:ascii="David" w:hAnsi="David" w:cs="David"/>
          <w:sz w:val="22"/>
          <w:szCs w:val="22"/>
          <w:rtl/>
        </w:rPr>
        <w:tab/>
      </w:r>
      <w:r w:rsidR="004316F0">
        <w:rPr>
          <w:rFonts w:ascii="David" w:hAnsi="David" w:cs="David" w:hint="cs"/>
          <w:sz w:val="22"/>
          <w:szCs w:val="22"/>
          <w:rtl/>
        </w:rPr>
        <w:t xml:space="preserve">       </w:t>
      </w:r>
      <w:r w:rsidRPr="004316F0">
        <w:rPr>
          <w:rFonts w:ascii="David" w:hAnsi="David" w:cs="David"/>
          <w:sz w:val="22"/>
          <w:szCs w:val="22"/>
          <w:rtl/>
        </w:rPr>
        <w:t xml:space="preserve">2) א. יש בברכות גם שבח. ב. נשים חייבות ללמוד את ההלכות ששייכות להן.     </w:t>
      </w:r>
    </w:p>
    <w:p w14:paraId="4D5E4597" w14:textId="747BF7B0" w:rsidR="006031B0" w:rsidRPr="004316F0" w:rsidRDefault="006031B0" w:rsidP="004316F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1) לפי הגמרא מברכים כל ברכה לפי השלב שבו נפגשים איתה, בזמננו אומרים את כל הברכות ברצף בבית הכנסת, כי הידיים לא נקיות ויש עמי הארץ שלא יודעים לברך לבד [מספיק נימוק אחד].  </w:t>
      </w:r>
    </w:p>
    <w:p w14:paraId="0FFC07BE" w14:textId="2C0C7170" w:rsidR="006031B0" w:rsidRPr="004316F0" w:rsidRDefault="006031B0" w:rsidP="004316F0">
      <w:pPr>
        <w:spacing w:after="0" w:line="360" w:lineRule="auto"/>
        <w:contextualSpacing/>
        <w:jc w:val="both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    </w:t>
      </w:r>
      <w:r w:rsidR="004316F0">
        <w:rPr>
          <w:rFonts w:ascii="David" w:hAnsi="David" w:cs="David" w:hint="cs"/>
          <w:sz w:val="22"/>
          <w:szCs w:val="22"/>
          <w:rtl/>
        </w:rPr>
        <w:t xml:space="preserve">                 </w:t>
      </w:r>
      <w:r w:rsidRPr="004316F0">
        <w:rPr>
          <w:rFonts w:ascii="David" w:hAnsi="David" w:cs="David"/>
          <w:sz w:val="22"/>
          <w:szCs w:val="22"/>
          <w:rtl/>
        </w:rPr>
        <w:t>2) הברכה הפותחת: ברוך שאמר. הברכה המסיימת: ישתבח. [עמ' 46-56]</w:t>
      </w:r>
    </w:p>
    <w:p w14:paraId="52C1B95F" w14:textId="77777777" w:rsidR="006031B0" w:rsidRPr="004316F0" w:rsidRDefault="006031B0" w:rsidP="004316F0">
      <w:pPr>
        <w:spacing w:after="0" w:line="360" w:lineRule="auto"/>
        <w:contextualSpacing/>
        <w:jc w:val="both"/>
        <w:rPr>
          <w:rFonts w:ascii="David" w:hAnsi="David" w:cs="David"/>
          <w:sz w:val="22"/>
          <w:szCs w:val="22"/>
          <w:rtl/>
        </w:rPr>
      </w:pPr>
    </w:p>
    <w:p w14:paraId="6A1BA0D7" w14:textId="77777777" w:rsidR="006031B0" w:rsidRPr="004316F0" w:rsidRDefault="006031B0" w:rsidP="004316F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  <w:u w:val="single"/>
        </w:rPr>
      </w:pPr>
      <w:r w:rsidRPr="004316F0">
        <w:rPr>
          <w:rFonts w:ascii="David" w:hAnsi="David" w:cs="David"/>
          <w:sz w:val="22"/>
          <w:szCs w:val="22"/>
          <w:u w:val="single"/>
          <w:rtl/>
        </w:rPr>
        <w:t xml:space="preserve">יצירת אווירה מתאימה לפני תפילת העמידה </w:t>
      </w:r>
    </w:p>
    <w:p w14:paraId="47694E0F" w14:textId="77777777" w:rsidR="006031B0" w:rsidRPr="004316F0" w:rsidRDefault="006031B0" w:rsidP="004316F0">
      <w:pPr>
        <w:pStyle w:val="a9"/>
        <w:numPr>
          <w:ilvl w:val="0"/>
          <w:numId w:val="5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1) היה אפשר לחשוב שאסור לעשות זאת כי אסור לאחוז ביד בשעת התפילה חפצים מחשש לפגיעה בריכוז ובכוונת הלב</w:t>
      </w:r>
      <w:r w:rsidRPr="004316F0">
        <w:rPr>
          <w:rFonts w:ascii="David" w:hAnsi="David" w:cs="David"/>
          <w:sz w:val="22"/>
          <w:szCs w:val="22"/>
        </w:rPr>
        <w:t xml:space="preserve">. </w:t>
      </w:r>
    </w:p>
    <w:p w14:paraId="30B64E3C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>מותר לאחוז ביד סידור בשעת התפילה כי עושה כן לצורך התפילה, ולכן אין חשש שהאחיזה תפגע בריכוזו</w:t>
      </w:r>
      <w:r w:rsidRPr="004316F0">
        <w:rPr>
          <w:rFonts w:ascii="David" w:hAnsi="David" w:cs="David"/>
          <w:sz w:val="22"/>
          <w:szCs w:val="22"/>
        </w:rPr>
        <w:t xml:space="preserve">. </w:t>
      </w:r>
    </w:p>
    <w:p w14:paraId="09691E99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2) אם השארת הכדור בלא השגחה תגרום לתלמיד להיות טרוד בחשש שייגנב עדיף שיתפלל והכדור בידיו אם בכך יהיה מרוכז יותר בתפילתו</w:t>
      </w:r>
      <w:r w:rsidRPr="004316F0">
        <w:rPr>
          <w:rFonts w:ascii="David" w:hAnsi="David" w:cs="David"/>
          <w:sz w:val="22"/>
          <w:szCs w:val="22"/>
        </w:rPr>
        <w:t xml:space="preserve">. 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proofErr w:type="gramStart"/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>' 105</w:t>
      </w:r>
      <w:r w:rsidRPr="004316F0">
        <w:rPr>
          <w:rFonts w:ascii="David" w:hAnsi="David" w:cs="David"/>
          <w:sz w:val="22"/>
          <w:szCs w:val="22"/>
        </w:rPr>
        <w:t>(</w:t>
      </w:r>
    </w:p>
    <w:p w14:paraId="47A9496C" w14:textId="77777777" w:rsidR="006031B0" w:rsidRPr="004316F0" w:rsidRDefault="006031B0" w:rsidP="004316F0">
      <w:pPr>
        <w:pStyle w:val="a9"/>
        <w:numPr>
          <w:ilvl w:val="0"/>
          <w:numId w:val="5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1) כדי שלא יהיה לפניו דבר שיבטל כוונתו</w:t>
      </w:r>
      <w:r w:rsidRPr="004316F0">
        <w:rPr>
          <w:rFonts w:ascii="David" w:hAnsi="David" w:cs="David"/>
          <w:sz w:val="22"/>
          <w:szCs w:val="22"/>
        </w:rPr>
        <w:t xml:space="preserve">. </w:t>
      </w:r>
    </w:p>
    <w:p w14:paraId="61A98234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2) דוגמה — חפץ שנמצא בבית הכנסת לצורך התפילה, הדבר החוצץ רחוק ממנו, אדם אחר הוא החוצץ</w:t>
      </w:r>
      <w:r w:rsidRPr="004316F0">
        <w:rPr>
          <w:rFonts w:ascii="David" w:hAnsi="David" w:cs="David"/>
          <w:sz w:val="22"/>
          <w:szCs w:val="22"/>
        </w:rPr>
        <w:t>.</w:t>
      </w:r>
    </w:p>
    <w:p w14:paraId="1507099F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proofErr w:type="gramStart"/>
      <w:r w:rsidRPr="004316F0">
        <w:rPr>
          <w:rFonts w:ascii="David" w:hAnsi="David" w:cs="David"/>
          <w:sz w:val="22"/>
          <w:szCs w:val="22"/>
        </w:rPr>
        <w:t>]</w:t>
      </w:r>
      <w:r w:rsidRPr="004316F0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 xml:space="preserve"> למעריך: די בדוגמה אחת</w:t>
      </w:r>
      <w:r w:rsidRPr="004316F0">
        <w:rPr>
          <w:rFonts w:ascii="David" w:hAnsi="David" w:cs="David"/>
          <w:sz w:val="22"/>
          <w:szCs w:val="22"/>
        </w:rPr>
        <w:t>[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עמ' 109</w:t>
      </w:r>
      <w:r w:rsidRPr="004316F0">
        <w:rPr>
          <w:rFonts w:ascii="David" w:hAnsi="David" w:cs="David"/>
          <w:sz w:val="22"/>
          <w:szCs w:val="22"/>
        </w:rPr>
        <w:t>(</w:t>
      </w:r>
    </w:p>
    <w:p w14:paraId="3FBB06EC" w14:textId="77777777" w:rsidR="006031B0" w:rsidRPr="004316F0" w:rsidRDefault="006031B0" w:rsidP="004316F0">
      <w:pPr>
        <w:pStyle w:val="a9"/>
        <w:numPr>
          <w:ilvl w:val="0"/>
          <w:numId w:val="5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1) מותר לעבור לפני המתפלל תפילת עמידה לצורך מצווה עוברת [כוהן שרוצה לעלות לדוכן או אדם שרוצה לעלות לתורה], </w:t>
      </w:r>
      <w:r w:rsidRPr="004316F0">
        <w:rPr>
          <w:rFonts w:ascii="David" w:hAnsi="David" w:cs="David"/>
          <w:sz w:val="22"/>
          <w:szCs w:val="22"/>
          <w:u w:val="single"/>
          <w:rtl/>
        </w:rPr>
        <w:t>או:</w:t>
      </w:r>
      <w:r w:rsidRPr="004316F0">
        <w:rPr>
          <w:rFonts w:ascii="David" w:hAnsi="David" w:cs="David"/>
          <w:sz w:val="22"/>
          <w:szCs w:val="22"/>
          <w:rtl/>
        </w:rPr>
        <w:t xml:space="preserve"> כבוד הבריות [אם אדם צריך ללכת לשירותים או אם רוצה להוציא תינוק שמפריע לתפילה</w:t>
      </w:r>
      <w:r w:rsidRPr="004316F0">
        <w:rPr>
          <w:rFonts w:ascii="David" w:hAnsi="David" w:cs="David"/>
          <w:sz w:val="22"/>
          <w:szCs w:val="22"/>
        </w:rPr>
        <w:t>,[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r w:rsidRPr="004316F0">
        <w:rPr>
          <w:rFonts w:ascii="David" w:hAnsi="David" w:cs="David"/>
          <w:sz w:val="22"/>
          <w:szCs w:val="22"/>
          <w:u w:val="single"/>
          <w:rtl/>
        </w:rPr>
        <w:t>או:</w:t>
      </w:r>
      <w:r w:rsidRPr="004316F0">
        <w:rPr>
          <w:rFonts w:ascii="David" w:hAnsi="David" w:cs="David"/>
          <w:sz w:val="22"/>
          <w:szCs w:val="22"/>
          <w:rtl/>
        </w:rPr>
        <w:t xml:space="preserve"> כאשר המתפלל עומד במקום שאינו מיועד לתפילה</w:t>
      </w:r>
      <w:r w:rsidRPr="004316F0">
        <w:rPr>
          <w:rFonts w:ascii="David" w:hAnsi="David" w:cs="David"/>
          <w:sz w:val="22"/>
          <w:szCs w:val="22"/>
        </w:rPr>
        <w:t xml:space="preserve">. 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proofErr w:type="gramStart"/>
      <w:r w:rsidRPr="004316F0">
        <w:rPr>
          <w:rFonts w:ascii="David" w:hAnsi="David" w:cs="David"/>
          <w:sz w:val="22"/>
          <w:szCs w:val="22"/>
        </w:rPr>
        <w:t>]</w:t>
      </w:r>
      <w:r w:rsidRPr="004316F0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 xml:space="preserve"> למעריך: די בשני מצבים</w:t>
      </w:r>
      <w:r w:rsidRPr="004316F0">
        <w:rPr>
          <w:rFonts w:ascii="David" w:hAnsi="David" w:cs="David"/>
          <w:sz w:val="22"/>
          <w:szCs w:val="22"/>
        </w:rPr>
        <w:t xml:space="preserve">[ </w:t>
      </w:r>
    </w:p>
    <w:p w14:paraId="76388878" w14:textId="2F8F12AB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>2) מותר לשבת ליד אדם שמתפלל תפילת עמידה כאשר היושב מתפלל [או שומע חזרת הש"ץ] ואינו נמצא לפני המתפלל ממש</w:t>
      </w:r>
      <w:r w:rsidRPr="004316F0">
        <w:rPr>
          <w:rFonts w:ascii="David" w:hAnsi="David" w:cs="David"/>
          <w:sz w:val="22"/>
          <w:szCs w:val="22"/>
        </w:rPr>
        <w:t xml:space="preserve">. 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proofErr w:type="gramStart"/>
      <w:r w:rsidRPr="004316F0">
        <w:rPr>
          <w:rFonts w:ascii="David" w:hAnsi="David" w:cs="David"/>
          <w:sz w:val="22"/>
          <w:szCs w:val="22"/>
        </w:rPr>
        <w:t>]</w:t>
      </w:r>
      <w:r w:rsidRPr="004316F0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 xml:space="preserve"> למעריך: די במצב אחד</w:t>
      </w:r>
      <w:r w:rsidRPr="004316F0">
        <w:rPr>
          <w:rFonts w:ascii="David" w:hAnsi="David" w:cs="David"/>
          <w:sz w:val="22"/>
          <w:szCs w:val="22"/>
        </w:rPr>
        <w:t>[</w:t>
      </w:r>
      <w:r w:rsidRPr="004316F0">
        <w:rPr>
          <w:rFonts w:ascii="David" w:hAnsi="David" w:cs="David"/>
          <w:sz w:val="22"/>
          <w:szCs w:val="22"/>
          <w:rtl/>
        </w:rPr>
        <w:t xml:space="preserve"> (עמ' 111)</w:t>
      </w:r>
    </w:p>
    <w:p w14:paraId="119E9E9D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</w:p>
    <w:p w14:paraId="2AA2E016" w14:textId="77777777" w:rsidR="00D53CBC" w:rsidRPr="004316F0" w:rsidRDefault="00D53CBC" w:rsidP="004316F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  <w:u w:val="single"/>
        </w:rPr>
      </w:pPr>
      <w:r w:rsidRPr="004316F0">
        <w:rPr>
          <w:rFonts w:ascii="David" w:hAnsi="David" w:cs="David"/>
          <w:sz w:val="22"/>
          <w:szCs w:val="22"/>
          <w:u w:val="single"/>
          <w:rtl/>
        </w:rPr>
        <w:t xml:space="preserve">התנהגות בזמן התפילה </w:t>
      </w:r>
    </w:p>
    <w:p w14:paraId="63D4E0CC" w14:textId="77777777" w:rsidR="00D53CBC" w:rsidRPr="004316F0" w:rsidRDefault="00D53CBC" w:rsidP="004316F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1) ביטוי להתקרבות לה' (עמ' 115-114; 117</w:t>
      </w:r>
      <w:r w:rsidRPr="004316F0">
        <w:rPr>
          <w:rFonts w:ascii="David" w:hAnsi="David" w:cs="David"/>
          <w:sz w:val="22"/>
          <w:szCs w:val="22"/>
        </w:rPr>
        <w:t xml:space="preserve">(. </w:t>
      </w:r>
    </w:p>
    <w:p w14:paraId="25E62115" w14:textId="088FFBF2" w:rsidR="00D53CBC" w:rsidRPr="004316F0" w:rsidRDefault="00D53CBC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2) </w:t>
      </w:r>
      <w:r w:rsidRPr="004316F0">
        <w:rPr>
          <w:rFonts w:ascii="David" w:hAnsi="David" w:cs="David"/>
          <w:sz w:val="22"/>
          <w:szCs w:val="22"/>
          <w:rtl/>
        </w:rPr>
        <w:tab/>
      </w:r>
      <w:r w:rsidRPr="004316F0">
        <w:rPr>
          <w:rFonts w:ascii="David" w:hAnsi="David" w:cs="David"/>
          <w:sz w:val="22"/>
          <w:szCs w:val="22"/>
        </w:rPr>
        <w:t xml:space="preserve">— </w:t>
      </w:r>
      <w:r w:rsidRPr="004316F0">
        <w:rPr>
          <w:rFonts w:ascii="David" w:hAnsi="David" w:cs="David"/>
          <w:sz w:val="22"/>
          <w:szCs w:val="22"/>
          <w:rtl/>
        </w:rPr>
        <w:t>זכר לרתיעת בני ישראל במעמד הר סיני</w:t>
      </w:r>
      <w:r w:rsidRPr="004316F0">
        <w:rPr>
          <w:rFonts w:ascii="David" w:hAnsi="David" w:cs="David"/>
          <w:sz w:val="22"/>
          <w:szCs w:val="22"/>
        </w:rPr>
        <w:t xml:space="preserve">. </w:t>
      </w:r>
    </w:p>
    <w:p w14:paraId="0DE179DC" w14:textId="77777777" w:rsidR="00D53CBC" w:rsidRPr="004316F0" w:rsidRDefault="00D53CBC" w:rsidP="004316F0">
      <w:pPr>
        <w:pStyle w:val="a9"/>
        <w:spacing w:line="360" w:lineRule="auto"/>
        <w:ind w:left="1080" w:firstLine="36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</w:rPr>
        <w:t xml:space="preserve">— </w:t>
      </w:r>
      <w:r w:rsidRPr="004316F0">
        <w:rPr>
          <w:rFonts w:ascii="David" w:hAnsi="David" w:cs="David"/>
          <w:sz w:val="22"/>
          <w:szCs w:val="22"/>
          <w:rtl/>
        </w:rPr>
        <w:t>ביטוי להכנעה לפני ה' וליראה לגשת להתפלל לפניו</w:t>
      </w:r>
      <w:r w:rsidRPr="004316F0">
        <w:rPr>
          <w:rFonts w:ascii="David" w:hAnsi="David" w:cs="David"/>
          <w:sz w:val="22"/>
          <w:szCs w:val="22"/>
        </w:rPr>
        <w:t>.</w:t>
      </w:r>
    </w:p>
    <w:p w14:paraId="55A8CA3B" w14:textId="17361330" w:rsidR="00D53CBC" w:rsidRPr="004316F0" w:rsidRDefault="00D53CBC" w:rsidP="004316F0">
      <w:pPr>
        <w:pStyle w:val="a9"/>
        <w:spacing w:line="360" w:lineRule="auto"/>
        <w:ind w:left="1080" w:firstLine="360"/>
        <w:rPr>
          <w:rFonts w:ascii="David" w:hAnsi="David" w:cs="David"/>
          <w:sz w:val="22"/>
          <w:szCs w:val="22"/>
        </w:rPr>
      </w:pPr>
      <w:proofErr w:type="gramStart"/>
      <w:r w:rsidRPr="004316F0">
        <w:rPr>
          <w:rFonts w:ascii="David" w:hAnsi="David" w:cs="David"/>
          <w:sz w:val="22"/>
          <w:szCs w:val="22"/>
        </w:rPr>
        <w:t>]</w:t>
      </w:r>
      <w:r w:rsidRPr="004316F0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 xml:space="preserve"> למעריך: על התלמיד לכתוב שני טעמים</w:t>
      </w:r>
      <w:r w:rsidRPr="004316F0">
        <w:rPr>
          <w:rFonts w:ascii="David" w:hAnsi="David" w:cs="David"/>
          <w:sz w:val="22"/>
          <w:szCs w:val="22"/>
        </w:rPr>
        <w:t xml:space="preserve">.[ 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עמ' 115</w:t>
      </w:r>
      <w:r w:rsidRPr="004316F0">
        <w:rPr>
          <w:rFonts w:ascii="David" w:hAnsi="David" w:cs="David"/>
          <w:sz w:val="22"/>
          <w:szCs w:val="22"/>
        </w:rPr>
        <w:t>(</w:t>
      </w:r>
    </w:p>
    <w:p w14:paraId="01955E7C" w14:textId="77777777" w:rsidR="00D53CBC" w:rsidRPr="004316F0" w:rsidRDefault="00D53CBC" w:rsidP="004316F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 1) תחילת ברכת אבות, סוף ברכת אבות, תחילת ברכת הודאה, סוף ברכת הודאה, עושה שלום במרומיו</w:t>
      </w:r>
      <w:r w:rsidRPr="004316F0">
        <w:rPr>
          <w:rFonts w:ascii="David" w:hAnsi="David" w:cs="David"/>
          <w:sz w:val="22"/>
          <w:szCs w:val="22"/>
        </w:rPr>
        <w:t xml:space="preserve">. 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proofErr w:type="gramStart"/>
      <w:r w:rsidRPr="004316F0">
        <w:rPr>
          <w:rFonts w:ascii="David" w:hAnsi="David" w:cs="David"/>
          <w:sz w:val="22"/>
          <w:szCs w:val="22"/>
        </w:rPr>
        <w:t>]</w:t>
      </w:r>
      <w:r w:rsidRPr="004316F0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 xml:space="preserve"> למעריך: על התלמיד לציין שלוש כריעות</w:t>
      </w:r>
      <w:r w:rsidRPr="004316F0">
        <w:rPr>
          <w:rFonts w:ascii="David" w:hAnsi="David" w:cs="David"/>
          <w:sz w:val="22"/>
          <w:szCs w:val="22"/>
        </w:rPr>
        <w:t xml:space="preserve">.[ </w:t>
      </w:r>
    </w:p>
    <w:p w14:paraId="35C3EE02" w14:textId="77777777" w:rsidR="00D53CBC" w:rsidRPr="004316F0" w:rsidRDefault="00D53CBC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2) כורעים במהירות כדי להראות את הרצון לכרוע לפני ה'. מזדקפים מן הכריעה לאט כדי להראות שרוצים להמשיך לכרוע לפני ה'. </w:t>
      </w:r>
      <w:proofErr w:type="gramStart"/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>' 118-117</w:t>
      </w:r>
      <w:r w:rsidRPr="004316F0">
        <w:rPr>
          <w:rFonts w:ascii="David" w:hAnsi="David" w:cs="David"/>
          <w:sz w:val="22"/>
          <w:szCs w:val="22"/>
        </w:rPr>
        <w:t>(</w:t>
      </w:r>
    </w:p>
    <w:p w14:paraId="463738C7" w14:textId="4C8C9057" w:rsidR="00D53CBC" w:rsidRPr="004316F0" w:rsidRDefault="00D53CBC" w:rsidP="004316F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הבקשה: "יהי רצון שייבנה בית המקדש</w:t>
      </w:r>
      <w:r w:rsidRPr="004316F0">
        <w:rPr>
          <w:rFonts w:ascii="David" w:hAnsi="David" w:cs="David"/>
          <w:sz w:val="22"/>
          <w:szCs w:val="22"/>
        </w:rPr>
        <w:t xml:space="preserve">". </w:t>
      </w:r>
      <w:r w:rsidRPr="004316F0">
        <w:rPr>
          <w:rFonts w:ascii="David" w:hAnsi="David" w:cs="David"/>
          <w:sz w:val="22"/>
          <w:szCs w:val="22"/>
          <w:rtl/>
        </w:rPr>
        <w:t>הסיבה לבקשה: התפילה היא במקום העבודה בבית המקדש ולכן מבקשים שנוכל לעשות עבודה ממש בבית המקדש</w:t>
      </w:r>
      <w:r w:rsidRPr="004316F0">
        <w:rPr>
          <w:rFonts w:ascii="David" w:hAnsi="David" w:cs="David"/>
          <w:sz w:val="22"/>
          <w:szCs w:val="22"/>
        </w:rPr>
        <w:t>.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r w:rsidRPr="004316F0">
        <w:rPr>
          <w:rFonts w:ascii="David" w:hAnsi="David" w:cs="David"/>
          <w:sz w:val="22"/>
          <w:szCs w:val="22"/>
        </w:rPr>
        <w:t xml:space="preserve"> </w:t>
      </w:r>
      <w:proofErr w:type="gramStart"/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>' 117-116</w:t>
      </w:r>
      <w:r w:rsidRPr="004316F0">
        <w:rPr>
          <w:rFonts w:ascii="David" w:hAnsi="David" w:cs="David"/>
          <w:sz w:val="22"/>
          <w:szCs w:val="22"/>
        </w:rPr>
        <w:t>(</w:t>
      </w:r>
    </w:p>
    <w:p w14:paraId="1E2BF3D6" w14:textId="77777777" w:rsidR="00D53CBC" w:rsidRDefault="00D53CBC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</w:p>
    <w:p w14:paraId="6BDB457A" w14:textId="77777777" w:rsidR="004316F0" w:rsidRDefault="004316F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</w:p>
    <w:p w14:paraId="229965D9" w14:textId="77777777" w:rsidR="004316F0" w:rsidRPr="004316F0" w:rsidRDefault="004316F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</w:p>
    <w:p w14:paraId="331DCD08" w14:textId="77777777" w:rsidR="00F76B1B" w:rsidRPr="004316F0" w:rsidRDefault="00F76B1B" w:rsidP="004316F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  <w:u w:val="single"/>
        </w:rPr>
      </w:pPr>
      <w:r w:rsidRPr="004316F0">
        <w:rPr>
          <w:rFonts w:ascii="David" w:hAnsi="David" w:cs="David"/>
          <w:sz w:val="22"/>
          <w:szCs w:val="22"/>
          <w:u w:val="single"/>
          <w:rtl/>
        </w:rPr>
        <w:t>תחנון; סיום התפילה</w:t>
      </w:r>
    </w:p>
    <w:p w14:paraId="30B64094" w14:textId="77777777" w:rsidR="00F76B1B" w:rsidRPr="004316F0" w:rsidRDefault="00F76B1B" w:rsidP="004316F0">
      <w:pPr>
        <w:pStyle w:val="a9"/>
        <w:numPr>
          <w:ilvl w:val="0"/>
          <w:numId w:val="9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1) וידוי ואמירת י"ג מידות; נפילת אפיים (עמ' 127</w:t>
      </w:r>
      <w:r w:rsidRPr="004316F0">
        <w:rPr>
          <w:rFonts w:ascii="David" w:hAnsi="David" w:cs="David"/>
          <w:sz w:val="22"/>
          <w:szCs w:val="22"/>
        </w:rPr>
        <w:t xml:space="preserve">(. </w:t>
      </w:r>
    </w:p>
    <w:p w14:paraId="6734423F" w14:textId="77777777" w:rsidR="00F76B1B" w:rsidRPr="004316F0" w:rsidRDefault="00F76B1B" w:rsidP="004316F0">
      <w:pPr>
        <w:pStyle w:val="a9"/>
        <w:spacing w:line="360" w:lineRule="auto"/>
        <w:ind w:left="113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2) קיום סמלי של הנפילה המלאה על הארץ שהייתה נהוגה בעבר, או: ביטוי לבושה והסתתרות (עמ' 128-127</w:t>
      </w:r>
      <w:r w:rsidRPr="004316F0">
        <w:rPr>
          <w:rFonts w:ascii="David" w:hAnsi="David" w:cs="David"/>
          <w:sz w:val="22"/>
          <w:szCs w:val="22"/>
        </w:rPr>
        <w:t>(.</w:t>
      </w:r>
    </w:p>
    <w:p w14:paraId="0D806D21" w14:textId="77777777" w:rsidR="00F76B1B" w:rsidRPr="004316F0" w:rsidRDefault="00F76B1B" w:rsidP="004316F0">
      <w:pPr>
        <w:pStyle w:val="a9"/>
        <w:numPr>
          <w:ilvl w:val="0"/>
          <w:numId w:val="9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lastRenderedPageBreak/>
        <w:t xml:space="preserve">1) כאשר מתפלל במניין זה חתן בשבעת ימי המשתה שלו; כאשר מתפלל במניין זה אחד מבעלי הברית </w:t>
      </w:r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אבי הבן, המוהל והסנדק); בבית הכנסת שבו תיערך הברית</w:t>
      </w:r>
      <w:r w:rsidRPr="004316F0">
        <w:rPr>
          <w:rFonts w:ascii="David" w:hAnsi="David" w:cs="David"/>
          <w:sz w:val="22"/>
          <w:szCs w:val="22"/>
        </w:rPr>
        <w:t>.</w:t>
      </w:r>
    </w:p>
    <w:p w14:paraId="237D75EE" w14:textId="77777777" w:rsidR="004316F0" w:rsidRPr="004316F0" w:rsidRDefault="004316F0" w:rsidP="004316F0">
      <w:pPr>
        <w:pStyle w:val="a9"/>
        <w:spacing w:line="360" w:lineRule="auto"/>
        <w:ind w:left="113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[</w:t>
      </w:r>
      <w:r w:rsidR="00F76B1B" w:rsidRPr="004316F0">
        <w:rPr>
          <w:rFonts w:ascii="David" w:hAnsi="David" w:cs="David"/>
          <w:sz w:val="22"/>
          <w:szCs w:val="22"/>
          <w:rtl/>
        </w:rPr>
        <w:t>הערה למעריך: על התלמיד לציין שני מקרים</w:t>
      </w:r>
      <w:r w:rsidR="00F76B1B" w:rsidRPr="004316F0">
        <w:rPr>
          <w:rFonts w:ascii="David" w:hAnsi="David" w:cs="David"/>
          <w:sz w:val="22"/>
          <w:szCs w:val="22"/>
        </w:rPr>
        <w:t>.[</w:t>
      </w:r>
    </w:p>
    <w:p w14:paraId="34BFD41D" w14:textId="77777777" w:rsidR="004316F0" w:rsidRPr="004316F0" w:rsidRDefault="004316F0" w:rsidP="004316F0">
      <w:pPr>
        <w:pStyle w:val="a9"/>
        <w:spacing w:line="360" w:lineRule="auto"/>
        <w:ind w:left="113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2) </w:t>
      </w:r>
      <w:r w:rsidR="00F76B1B" w:rsidRPr="004316F0">
        <w:rPr>
          <w:rFonts w:ascii="David" w:hAnsi="David" w:cs="David"/>
          <w:sz w:val="22"/>
          <w:szCs w:val="22"/>
          <w:rtl/>
        </w:rPr>
        <w:t>מקרים אלו קשורים לאירועים משמחים ולכן אין אומרים בהם תחנון, שהוא תפילה המבטאת את צערו וכאבו של האדם, את חולשותיו ואת ריחוקו מהקב"ה</w:t>
      </w:r>
      <w:r w:rsidR="00F76B1B" w:rsidRPr="004316F0">
        <w:rPr>
          <w:rFonts w:ascii="David" w:hAnsi="David" w:cs="David"/>
          <w:sz w:val="22"/>
          <w:szCs w:val="22"/>
        </w:rPr>
        <w:t>.</w:t>
      </w:r>
    </w:p>
    <w:p w14:paraId="54C6C1B8" w14:textId="77777777" w:rsidR="004316F0" w:rsidRPr="004316F0" w:rsidRDefault="00F76B1B" w:rsidP="004316F0">
      <w:pPr>
        <w:pStyle w:val="a9"/>
        <w:spacing w:line="360" w:lineRule="auto"/>
        <w:ind w:left="1130"/>
        <w:rPr>
          <w:rFonts w:ascii="David" w:hAnsi="David" w:cs="David"/>
          <w:sz w:val="22"/>
          <w:szCs w:val="22"/>
        </w:rPr>
      </w:pPr>
      <w:proofErr w:type="gramStart"/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>' 129-128</w:t>
      </w:r>
      <w:r w:rsidRPr="004316F0">
        <w:rPr>
          <w:rFonts w:ascii="David" w:hAnsi="David" w:cs="David"/>
          <w:sz w:val="22"/>
          <w:szCs w:val="22"/>
        </w:rPr>
        <w:t>(</w:t>
      </w:r>
    </w:p>
    <w:p w14:paraId="246E5E40" w14:textId="77777777" w:rsidR="004316F0" w:rsidRPr="004316F0" w:rsidRDefault="004316F0" w:rsidP="004316F0">
      <w:pPr>
        <w:pStyle w:val="a9"/>
        <w:numPr>
          <w:ilvl w:val="0"/>
          <w:numId w:val="9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1) </w:t>
      </w:r>
      <w:r w:rsidR="00F76B1B" w:rsidRPr="004316F0">
        <w:rPr>
          <w:rFonts w:ascii="David" w:hAnsi="David" w:cs="David"/>
          <w:sz w:val="22"/>
          <w:szCs w:val="22"/>
          <w:rtl/>
        </w:rPr>
        <w:t xml:space="preserve">כי יש מצווה לזכור בכל יום את יום השבת </w:t>
      </w:r>
      <w:r w:rsidRPr="004316F0">
        <w:rPr>
          <w:rFonts w:ascii="David" w:hAnsi="David" w:cs="David"/>
          <w:sz w:val="22"/>
          <w:szCs w:val="22"/>
          <w:rtl/>
        </w:rPr>
        <w:t>(</w:t>
      </w:r>
      <w:r w:rsidR="00F76B1B" w:rsidRPr="004316F0">
        <w:rPr>
          <w:rFonts w:ascii="David" w:hAnsi="David" w:cs="David"/>
          <w:sz w:val="22"/>
          <w:szCs w:val="22"/>
          <w:rtl/>
        </w:rPr>
        <w:t>עמ' 135</w:t>
      </w:r>
      <w:r w:rsidR="00F76B1B" w:rsidRPr="004316F0">
        <w:rPr>
          <w:rFonts w:ascii="David" w:hAnsi="David" w:cs="David"/>
          <w:sz w:val="22"/>
          <w:szCs w:val="22"/>
        </w:rPr>
        <w:t>(.</w:t>
      </w:r>
    </w:p>
    <w:p w14:paraId="350340CA" w14:textId="46CC5E47" w:rsidR="004316F0" w:rsidRPr="004316F0" w:rsidRDefault="004316F0" w:rsidP="004316F0">
      <w:pPr>
        <w:pStyle w:val="a9"/>
        <w:spacing w:line="360" w:lineRule="auto"/>
        <w:ind w:left="113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2) </w:t>
      </w:r>
      <w:r w:rsidR="00F76B1B" w:rsidRPr="004316F0">
        <w:rPr>
          <w:rFonts w:ascii="David" w:hAnsi="David" w:cs="David"/>
          <w:sz w:val="22"/>
          <w:szCs w:val="22"/>
          <w:rtl/>
        </w:rPr>
        <w:t xml:space="preserve">באמירה בעל פה יש חשש שמא ידלג האומר על אחד מסממני הקטורת, ואמירת פיטום הקטורת היא במקום הקטרה, ואם מקטיר הקטורת מחסר אחד מן הסממנים הוא חייב מיתה </w:t>
      </w:r>
      <w:r w:rsidRPr="004316F0">
        <w:rPr>
          <w:rFonts w:ascii="David" w:hAnsi="David" w:cs="David"/>
          <w:sz w:val="22"/>
          <w:szCs w:val="22"/>
          <w:rtl/>
        </w:rPr>
        <w:t>(</w:t>
      </w:r>
      <w:r w:rsidR="00F76B1B" w:rsidRPr="004316F0">
        <w:rPr>
          <w:rFonts w:ascii="David" w:hAnsi="David" w:cs="David"/>
          <w:sz w:val="22"/>
          <w:szCs w:val="22"/>
          <w:rtl/>
        </w:rPr>
        <w:t>עמ' 137-136</w:t>
      </w:r>
      <w:r w:rsidR="00F76B1B" w:rsidRPr="004316F0">
        <w:rPr>
          <w:rFonts w:ascii="David" w:hAnsi="David" w:cs="David"/>
          <w:sz w:val="22"/>
          <w:szCs w:val="22"/>
        </w:rPr>
        <w:t>(</w:t>
      </w:r>
      <w:r w:rsidRPr="004316F0">
        <w:rPr>
          <w:rFonts w:ascii="David" w:hAnsi="David" w:cs="David"/>
          <w:sz w:val="22"/>
          <w:szCs w:val="22"/>
          <w:rtl/>
        </w:rPr>
        <w:t>.</w:t>
      </w:r>
    </w:p>
    <w:p w14:paraId="072BC5A4" w14:textId="77777777" w:rsidR="004316F0" w:rsidRPr="004316F0" w:rsidRDefault="004316F0" w:rsidP="004316F0">
      <w:pPr>
        <w:pStyle w:val="a9"/>
        <w:spacing w:line="360" w:lineRule="auto"/>
        <w:rPr>
          <w:rFonts w:ascii="David" w:hAnsi="David" w:cs="David"/>
          <w:sz w:val="22"/>
          <w:szCs w:val="22"/>
          <w:u w:val="single"/>
        </w:rPr>
      </w:pPr>
    </w:p>
    <w:p w14:paraId="3F64AD76" w14:textId="294996D2" w:rsidR="006031B0" w:rsidRPr="004316F0" w:rsidRDefault="006031B0" w:rsidP="004316F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  <w:u w:val="single"/>
        </w:rPr>
      </w:pPr>
      <w:r w:rsidRPr="004316F0">
        <w:rPr>
          <w:rFonts w:ascii="David" w:hAnsi="David" w:cs="David"/>
          <w:sz w:val="22"/>
          <w:szCs w:val="22"/>
          <w:u w:val="single"/>
          <w:rtl/>
        </w:rPr>
        <w:t>תפילת מנחה וערבית</w:t>
      </w:r>
    </w:p>
    <w:p w14:paraId="29FD7BDB" w14:textId="644B6894" w:rsidR="006031B0" w:rsidRPr="004316F0" w:rsidRDefault="006031B0" w:rsidP="004316F0">
      <w:pPr>
        <w:pStyle w:val="a9"/>
        <w:numPr>
          <w:ilvl w:val="0"/>
          <w:numId w:val="4"/>
        </w:numPr>
        <w:spacing w:line="360" w:lineRule="auto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1) שש שעות ומחצה – הזמן שבזמנים מסוימים התחילו להקריב בו תמיד של בין הערבים. </w:t>
      </w:r>
    </w:p>
    <w:p w14:paraId="6C856098" w14:textId="7C853E25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>תשע שעות ומחצה – הזמן שבום רגיל התחילו להקריב תמיד של בין הערביים.</w:t>
      </w:r>
    </w:p>
    <w:p w14:paraId="7EB17B38" w14:textId="45316B25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>2) כי מנחה היא בזמן שאדם טרוד בעסקו, ואם למרות זאת מפנה את ליבו לקב"ה ומתפלל שכרו גדול.</w:t>
      </w:r>
    </w:p>
    <w:p w14:paraId="4964DF7E" w14:textId="39B33F81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3) 1. . אשרי. 2. חצי קדיש. 3. תפילת העמידה 4. חזרת הש"ץ. 5. נפילת אפיים. 6 קדיש 7. עלינו לשבח   [לקבל גם: 8. </w:t>
      </w:r>
      <w:proofErr w:type="spellStart"/>
      <w:r w:rsidRPr="004316F0">
        <w:rPr>
          <w:rFonts w:ascii="David" w:hAnsi="David" w:cs="David"/>
          <w:sz w:val="22"/>
          <w:szCs w:val="22"/>
          <w:rtl/>
        </w:rPr>
        <w:t>קרבנות</w:t>
      </w:r>
      <w:proofErr w:type="spellEnd"/>
      <w:r w:rsidRPr="004316F0">
        <w:rPr>
          <w:rFonts w:ascii="David" w:hAnsi="David" w:cs="David"/>
          <w:sz w:val="22"/>
          <w:szCs w:val="22"/>
          <w:rtl/>
        </w:rPr>
        <w:t>. 9. למנצח] [מספיק ארבעה] [עמ' 144- 146]</w:t>
      </w:r>
    </w:p>
    <w:p w14:paraId="4476558D" w14:textId="108AE5FE" w:rsidR="006031B0" w:rsidRPr="004316F0" w:rsidRDefault="006031B0" w:rsidP="004316F0">
      <w:pPr>
        <w:pStyle w:val="a9"/>
        <w:numPr>
          <w:ilvl w:val="0"/>
          <w:numId w:val="4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1. בגלל שבערב אין תמיד שמכפר. 2. בקשת כפרה לאחר שחטאו כל היום [מספיק אחד] [עמ'47]</w:t>
      </w:r>
    </w:p>
    <w:p w14:paraId="6BF23E27" w14:textId="2DD8BD62" w:rsidR="006031B0" w:rsidRPr="004316F0" w:rsidRDefault="006031B0" w:rsidP="004316F0">
      <w:pPr>
        <w:pStyle w:val="a9"/>
        <w:numPr>
          <w:ilvl w:val="0"/>
          <w:numId w:val="4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1) כי קבלו עליהם כחובה.</w:t>
      </w:r>
    </w:p>
    <w:p w14:paraId="4B06990A" w14:textId="1D025CCD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>2) כי קריאת שמע ערבית היא מצוה מהתורה "</w:t>
      </w:r>
      <w:proofErr w:type="spellStart"/>
      <w:r w:rsidRPr="004316F0">
        <w:rPr>
          <w:rFonts w:ascii="David" w:hAnsi="David" w:cs="David"/>
          <w:sz w:val="22"/>
          <w:szCs w:val="22"/>
          <w:rtl/>
        </w:rPr>
        <w:t>בשכבך</w:t>
      </w:r>
      <w:proofErr w:type="spellEnd"/>
      <w:r w:rsidRPr="004316F0">
        <w:rPr>
          <w:rFonts w:ascii="David" w:hAnsi="David" w:cs="David"/>
          <w:sz w:val="22"/>
          <w:szCs w:val="22"/>
          <w:rtl/>
        </w:rPr>
        <w:t xml:space="preserve"> ובקומך". [עמ' 148-140]</w:t>
      </w:r>
    </w:p>
    <w:p w14:paraId="78DBAC6C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</w:p>
    <w:p w14:paraId="6730EA64" w14:textId="77777777" w:rsidR="006031B0" w:rsidRPr="004316F0" w:rsidRDefault="006031B0" w:rsidP="004316F0">
      <w:pPr>
        <w:pStyle w:val="a9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u w:val="single"/>
          <w:rtl/>
        </w:rPr>
        <w:t>תפילות בזמנים מיוחדים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</w:p>
    <w:p w14:paraId="614A6A54" w14:textId="77777777" w:rsidR="006031B0" w:rsidRPr="004316F0" w:rsidRDefault="006031B0" w:rsidP="004316F0">
      <w:pPr>
        <w:pStyle w:val="a9"/>
        <w:numPr>
          <w:ilvl w:val="0"/>
          <w:numId w:val="6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1) אם נזכר תוך כדי דיבור — יתקן את עצמו. אם לא נזכר תוך כדי דיבור — יחזור לתחילת תפילת העמידה</w:t>
      </w:r>
      <w:r w:rsidRPr="004316F0">
        <w:rPr>
          <w:rFonts w:ascii="David" w:hAnsi="David" w:cs="David"/>
          <w:sz w:val="22"/>
          <w:szCs w:val="22"/>
        </w:rPr>
        <w:t xml:space="preserve">. </w:t>
      </w:r>
    </w:p>
    <w:p w14:paraId="3B3A685E" w14:textId="77777777" w:rsidR="006031B0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2) נזכר לפני סיום התפילה — יחזור ל"רצה". נזכר לאחר סיום התפילה — יחזור לתחילת תפילת העמידה</w:t>
      </w:r>
      <w:r w:rsidRPr="004316F0">
        <w:rPr>
          <w:rFonts w:ascii="David" w:hAnsi="David" w:cs="David"/>
          <w:sz w:val="22"/>
          <w:szCs w:val="22"/>
        </w:rPr>
        <w:t xml:space="preserve">. 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proofErr w:type="gramStart"/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>' 152-151</w:t>
      </w:r>
      <w:r w:rsidRPr="004316F0">
        <w:rPr>
          <w:rFonts w:ascii="David" w:hAnsi="David" w:cs="David"/>
          <w:sz w:val="22"/>
          <w:szCs w:val="22"/>
        </w:rPr>
        <w:t xml:space="preserve">( </w:t>
      </w:r>
    </w:p>
    <w:p w14:paraId="6D752AC8" w14:textId="77777777" w:rsidR="00D53CBC" w:rsidRPr="004316F0" w:rsidRDefault="006031B0" w:rsidP="004316F0">
      <w:pPr>
        <w:pStyle w:val="a9"/>
        <w:numPr>
          <w:ilvl w:val="0"/>
          <w:numId w:val="6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1) לא צריך לחזור, כי חנוכה ופורים הם חגים מדרבנן </w:t>
      </w:r>
      <w:r w:rsidR="00D53CBC" w:rsidRPr="004316F0">
        <w:rPr>
          <w:rFonts w:ascii="David" w:hAnsi="David" w:cs="David"/>
          <w:sz w:val="22"/>
          <w:szCs w:val="22"/>
          <w:rtl/>
        </w:rPr>
        <w:t>(</w:t>
      </w:r>
      <w:r w:rsidRPr="004316F0">
        <w:rPr>
          <w:rFonts w:ascii="David" w:hAnsi="David" w:cs="David"/>
          <w:sz w:val="22"/>
          <w:szCs w:val="22"/>
          <w:rtl/>
        </w:rPr>
        <w:t>עמ' 151</w:t>
      </w:r>
      <w:r w:rsidRPr="004316F0">
        <w:rPr>
          <w:rFonts w:ascii="David" w:hAnsi="David" w:cs="David"/>
          <w:sz w:val="22"/>
          <w:szCs w:val="22"/>
        </w:rPr>
        <w:t xml:space="preserve">(. </w:t>
      </w:r>
    </w:p>
    <w:p w14:paraId="36BA9FAE" w14:textId="5C2AAF9C" w:rsidR="00D53CBC" w:rsidRPr="004316F0" w:rsidRDefault="00D53CBC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2) </w:t>
      </w:r>
      <w:r w:rsidRPr="004316F0">
        <w:rPr>
          <w:rFonts w:ascii="David" w:hAnsi="David" w:cs="David"/>
          <w:sz w:val="22"/>
          <w:szCs w:val="22"/>
          <w:rtl/>
        </w:rPr>
        <w:tab/>
      </w:r>
      <w:r w:rsidRPr="004316F0">
        <w:rPr>
          <w:rFonts w:ascii="David" w:hAnsi="David" w:cs="David"/>
          <w:sz w:val="22"/>
          <w:szCs w:val="22"/>
        </w:rPr>
        <w:t xml:space="preserve"> </w:t>
      </w:r>
      <w:r w:rsidR="006031B0" w:rsidRPr="004316F0">
        <w:rPr>
          <w:rFonts w:ascii="David" w:hAnsi="David" w:cs="David"/>
          <w:sz w:val="22"/>
          <w:szCs w:val="22"/>
        </w:rPr>
        <w:t>—</w:t>
      </w:r>
      <w:r w:rsidRPr="004316F0">
        <w:rPr>
          <w:rFonts w:ascii="David" w:hAnsi="David" w:cs="David"/>
          <w:sz w:val="22"/>
          <w:szCs w:val="22"/>
        </w:rPr>
        <w:t xml:space="preserve"> </w:t>
      </w:r>
      <w:r w:rsidR="006031B0" w:rsidRPr="004316F0">
        <w:rPr>
          <w:rFonts w:ascii="David" w:hAnsi="David" w:cs="David"/>
          <w:sz w:val="22"/>
          <w:szCs w:val="22"/>
          <w:rtl/>
        </w:rPr>
        <w:t xml:space="preserve">כי אין אומרים שירה </w:t>
      </w:r>
      <w:r w:rsidR="0024755B">
        <w:rPr>
          <w:rFonts w:ascii="David" w:hAnsi="David" w:cs="David" w:hint="cs"/>
          <w:sz w:val="22"/>
          <w:szCs w:val="22"/>
          <w:rtl/>
        </w:rPr>
        <w:t>[</w:t>
      </w:r>
      <w:r w:rsidR="006031B0" w:rsidRPr="004316F0">
        <w:rPr>
          <w:rFonts w:ascii="David" w:hAnsi="David" w:cs="David"/>
          <w:sz w:val="22"/>
          <w:szCs w:val="22"/>
          <w:rtl/>
        </w:rPr>
        <w:t>הלל</w:t>
      </w:r>
      <w:r w:rsidR="0024755B">
        <w:rPr>
          <w:rFonts w:ascii="David" w:hAnsi="David" w:cs="David" w:hint="cs"/>
          <w:sz w:val="22"/>
          <w:szCs w:val="22"/>
          <w:rtl/>
        </w:rPr>
        <w:t>]</w:t>
      </w:r>
      <w:r w:rsidR="006031B0" w:rsidRPr="004316F0">
        <w:rPr>
          <w:rFonts w:ascii="David" w:hAnsi="David" w:cs="David"/>
          <w:sz w:val="22"/>
          <w:szCs w:val="22"/>
          <w:rtl/>
        </w:rPr>
        <w:t xml:space="preserve"> על נס שבחוץ לארץ </w:t>
      </w:r>
      <w:r w:rsidRPr="004316F0">
        <w:rPr>
          <w:rFonts w:ascii="David" w:hAnsi="David" w:cs="David"/>
          <w:sz w:val="22"/>
          <w:szCs w:val="22"/>
          <w:rtl/>
        </w:rPr>
        <w:t>[</w:t>
      </w:r>
      <w:r w:rsidR="006031B0" w:rsidRPr="004316F0">
        <w:rPr>
          <w:rFonts w:ascii="David" w:hAnsi="David" w:cs="David"/>
          <w:sz w:val="22"/>
          <w:szCs w:val="22"/>
          <w:rtl/>
        </w:rPr>
        <w:t>ונס פורים היה בחוץ לארץ</w:t>
      </w:r>
      <w:r w:rsidR="006031B0" w:rsidRPr="004316F0">
        <w:rPr>
          <w:rFonts w:ascii="David" w:hAnsi="David" w:cs="David"/>
          <w:sz w:val="22"/>
          <w:szCs w:val="22"/>
        </w:rPr>
        <w:t>[.</w:t>
      </w:r>
    </w:p>
    <w:p w14:paraId="1DBE31C1" w14:textId="4A04D43C" w:rsidR="00D53CBC" w:rsidRPr="004316F0" w:rsidRDefault="006031B0" w:rsidP="004316F0">
      <w:pPr>
        <w:pStyle w:val="a9"/>
        <w:spacing w:line="360" w:lineRule="auto"/>
        <w:ind w:left="1080" w:firstLine="36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</w:rPr>
        <w:t xml:space="preserve"> — </w:t>
      </w:r>
      <w:r w:rsidRPr="004316F0">
        <w:rPr>
          <w:rFonts w:ascii="David" w:hAnsi="David" w:cs="David"/>
          <w:sz w:val="22"/>
          <w:szCs w:val="22"/>
          <w:rtl/>
        </w:rPr>
        <w:t>קריאת המגילה שקוראים בפורים היא ההלל</w:t>
      </w:r>
      <w:r w:rsidRPr="004316F0">
        <w:rPr>
          <w:rFonts w:ascii="David" w:hAnsi="David" w:cs="David"/>
          <w:sz w:val="22"/>
          <w:szCs w:val="22"/>
        </w:rPr>
        <w:t xml:space="preserve">. </w:t>
      </w:r>
    </w:p>
    <w:p w14:paraId="7C82B5D3" w14:textId="10E299EB" w:rsidR="00D53CBC" w:rsidRPr="004316F0" w:rsidRDefault="006031B0" w:rsidP="004316F0">
      <w:pPr>
        <w:pStyle w:val="a9"/>
        <w:numPr>
          <w:ilvl w:val="0"/>
          <w:numId w:val="7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עדיין אנו עבדי אחשוורוש, ואם כן אין טעם לומר הלל</w:t>
      </w:r>
      <w:r w:rsidRPr="004316F0">
        <w:rPr>
          <w:rFonts w:ascii="David" w:hAnsi="David" w:cs="David"/>
          <w:sz w:val="22"/>
          <w:szCs w:val="22"/>
        </w:rPr>
        <w:t>.</w:t>
      </w:r>
    </w:p>
    <w:p w14:paraId="06E1EDF3" w14:textId="77777777" w:rsidR="00D53CBC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proofErr w:type="gramStart"/>
      <w:r w:rsidRPr="004316F0">
        <w:rPr>
          <w:rFonts w:ascii="David" w:hAnsi="David" w:cs="David"/>
          <w:sz w:val="22"/>
          <w:szCs w:val="22"/>
        </w:rPr>
        <w:t>]</w:t>
      </w:r>
      <w:r w:rsidRPr="004316F0">
        <w:rPr>
          <w:rFonts w:ascii="David" w:hAnsi="David" w:cs="David"/>
          <w:sz w:val="22"/>
          <w:szCs w:val="22"/>
          <w:rtl/>
        </w:rPr>
        <w:t>הערה</w:t>
      </w:r>
      <w:proofErr w:type="gramEnd"/>
      <w:r w:rsidRPr="004316F0">
        <w:rPr>
          <w:rFonts w:ascii="David" w:hAnsi="David" w:cs="David"/>
          <w:sz w:val="22"/>
          <w:szCs w:val="22"/>
          <w:rtl/>
        </w:rPr>
        <w:t xml:space="preserve"> למעריך: די בסיבה אחת</w:t>
      </w:r>
      <w:r w:rsidRPr="004316F0">
        <w:rPr>
          <w:rFonts w:ascii="David" w:hAnsi="David" w:cs="David"/>
          <w:sz w:val="22"/>
          <w:szCs w:val="22"/>
        </w:rPr>
        <w:t xml:space="preserve">[ </w:t>
      </w:r>
      <w:r w:rsidR="00D53CBC" w:rsidRPr="004316F0">
        <w:rPr>
          <w:rFonts w:ascii="David" w:hAnsi="David" w:cs="David"/>
          <w:sz w:val="22"/>
          <w:szCs w:val="22"/>
          <w:rtl/>
        </w:rPr>
        <w:t xml:space="preserve"> </w:t>
      </w:r>
      <w:r w:rsidRPr="004316F0">
        <w:rPr>
          <w:rFonts w:ascii="David" w:hAnsi="David" w:cs="David"/>
          <w:sz w:val="22"/>
          <w:szCs w:val="22"/>
        </w:rPr>
        <w:t>)</w:t>
      </w:r>
      <w:r w:rsidRPr="004316F0">
        <w:rPr>
          <w:rFonts w:ascii="David" w:hAnsi="David" w:cs="David"/>
          <w:sz w:val="22"/>
          <w:szCs w:val="22"/>
          <w:rtl/>
        </w:rPr>
        <w:t>עמ' 154</w:t>
      </w:r>
      <w:r w:rsidRPr="004316F0">
        <w:rPr>
          <w:rFonts w:ascii="David" w:hAnsi="David" w:cs="David"/>
          <w:sz w:val="22"/>
          <w:szCs w:val="22"/>
        </w:rPr>
        <w:t xml:space="preserve">( </w:t>
      </w:r>
    </w:p>
    <w:p w14:paraId="0D9C82D9" w14:textId="77777777" w:rsidR="00D53CBC" w:rsidRPr="004316F0" w:rsidRDefault="006031B0" w:rsidP="004316F0">
      <w:pPr>
        <w:pStyle w:val="a9"/>
        <w:numPr>
          <w:ilvl w:val="0"/>
          <w:numId w:val="6"/>
        </w:numPr>
        <w:spacing w:line="360" w:lineRule="auto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 </w:t>
      </w:r>
      <w:r w:rsidR="00D53CBC" w:rsidRPr="004316F0">
        <w:rPr>
          <w:rFonts w:ascii="David" w:hAnsi="David" w:cs="David"/>
          <w:sz w:val="22"/>
          <w:szCs w:val="22"/>
          <w:rtl/>
        </w:rPr>
        <w:t xml:space="preserve">1) </w:t>
      </w:r>
      <w:r w:rsidRPr="004316F0">
        <w:rPr>
          <w:rFonts w:ascii="David" w:hAnsi="David" w:cs="David"/>
          <w:sz w:val="22"/>
          <w:szCs w:val="22"/>
          <w:rtl/>
        </w:rPr>
        <w:t xml:space="preserve">בימים אלה התרחשו ניסים גדולים ומופלאים: </w:t>
      </w:r>
    </w:p>
    <w:p w14:paraId="6D5593FA" w14:textId="77777777" w:rsidR="00D53CBC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ביום העצמאות — עם ההכרזה על הקמת המדינה התפרקנו מעול שעבוד מלכות זרה ומאימת מלחמת המדינות השכנות. עם ישראל היה לעם עצמאי וריבוני בארצו. צבא ישראל הצליח במלחמתו. </w:t>
      </w:r>
    </w:p>
    <w:p w14:paraId="2B4BCECB" w14:textId="77777777" w:rsidR="00D53CBC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  <w:rtl/>
        </w:rPr>
        <w:t>ביום ירושלים — ניצחון מוחץ של צה"ל במלחמה בשלוש חזיתות</w:t>
      </w:r>
      <w:r w:rsidRPr="004316F0">
        <w:rPr>
          <w:rFonts w:ascii="David" w:hAnsi="David" w:cs="David"/>
          <w:sz w:val="22"/>
          <w:szCs w:val="22"/>
        </w:rPr>
        <w:t>.</w:t>
      </w:r>
    </w:p>
    <w:p w14:paraId="0E0D3729" w14:textId="77777777" w:rsidR="00D53CBC" w:rsidRPr="004316F0" w:rsidRDefault="006031B0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</w:rPr>
      </w:pPr>
      <w:r w:rsidRPr="004316F0">
        <w:rPr>
          <w:rFonts w:ascii="David" w:hAnsi="David" w:cs="David"/>
          <w:sz w:val="22"/>
          <w:szCs w:val="22"/>
        </w:rPr>
        <w:t xml:space="preserve"> </w:t>
      </w:r>
      <w:r w:rsidRPr="004316F0">
        <w:rPr>
          <w:rFonts w:ascii="David" w:hAnsi="David" w:cs="David"/>
          <w:sz w:val="22"/>
          <w:szCs w:val="22"/>
          <w:rtl/>
        </w:rPr>
        <w:t>המועד בשנה הוא חג החנוכה</w:t>
      </w:r>
      <w:r w:rsidRPr="004316F0">
        <w:rPr>
          <w:rFonts w:ascii="David" w:hAnsi="David" w:cs="David"/>
          <w:sz w:val="22"/>
          <w:szCs w:val="22"/>
        </w:rPr>
        <w:t>.</w:t>
      </w:r>
    </w:p>
    <w:p w14:paraId="2E5EADEC" w14:textId="15C19FA9" w:rsidR="006031B0" w:rsidRPr="004316F0" w:rsidRDefault="00D53CBC" w:rsidP="004316F0">
      <w:pPr>
        <w:pStyle w:val="a9"/>
        <w:spacing w:line="360" w:lineRule="auto"/>
        <w:ind w:left="1080"/>
        <w:rPr>
          <w:rFonts w:ascii="David" w:hAnsi="David" w:cs="David"/>
          <w:sz w:val="22"/>
          <w:szCs w:val="22"/>
          <w:rtl/>
        </w:rPr>
      </w:pPr>
      <w:r w:rsidRPr="004316F0">
        <w:rPr>
          <w:rFonts w:ascii="David" w:hAnsi="David" w:cs="David"/>
          <w:sz w:val="22"/>
          <w:szCs w:val="22"/>
          <w:rtl/>
        </w:rPr>
        <w:t xml:space="preserve">2) </w:t>
      </w:r>
      <w:r w:rsidR="006031B0" w:rsidRPr="004316F0">
        <w:rPr>
          <w:rFonts w:ascii="David" w:hAnsi="David" w:cs="David"/>
          <w:sz w:val="22"/>
          <w:szCs w:val="22"/>
          <w:rtl/>
        </w:rPr>
        <w:t>הגאולה היא חלקית כי המצב הביטחוני והמצב הרוחני לוקים בחסר</w:t>
      </w:r>
      <w:r w:rsidR="006031B0" w:rsidRPr="004316F0">
        <w:rPr>
          <w:rFonts w:ascii="David" w:hAnsi="David" w:cs="David"/>
          <w:sz w:val="22"/>
          <w:szCs w:val="22"/>
        </w:rPr>
        <w:t>.</w:t>
      </w:r>
      <w:r w:rsidRPr="004316F0">
        <w:rPr>
          <w:rFonts w:ascii="David" w:hAnsi="David" w:cs="David"/>
          <w:sz w:val="22"/>
          <w:szCs w:val="22"/>
          <w:rtl/>
        </w:rPr>
        <w:t xml:space="preserve"> </w:t>
      </w:r>
      <w:r w:rsidR="006031B0" w:rsidRPr="004316F0">
        <w:rPr>
          <w:rFonts w:ascii="David" w:hAnsi="David" w:cs="David"/>
          <w:sz w:val="22"/>
          <w:szCs w:val="22"/>
        </w:rPr>
        <w:t xml:space="preserve"> </w:t>
      </w:r>
      <w:proofErr w:type="gramStart"/>
      <w:r w:rsidR="006031B0" w:rsidRPr="004316F0">
        <w:rPr>
          <w:rFonts w:ascii="David" w:hAnsi="David" w:cs="David"/>
          <w:sz w:val="22"/>
          <w:szCs w:val="22"/>
        </w:rPr>
        <w:t>)</w:t>
      </w:r>
      <w:r w:rsidR="006031B0" w:rsidRPr="004316F0">
        <w:rPr>
          <w:rFonts w:ascii="David" w:hAnsi="David" w:cs="David"/>
          <w:sz w:val="22"/>
          <w:szCs w:val="22"/>
          <w:rtl/>
        </w:rPr>
        <w:t>עמ</w:t>
      </w:r>
      <w:proofErr w:type="gramEnd"/>
      <w:r w:rsidR="006031B0" w:rsidRPr="004316F0">
        <w:rPr>
          <w:rFonts w:ascii="David" w:hAnsi="David" w:cs="David"/>
          <w:sz w:val="22"/>
          <w:szCs w:val="22"/>
          <w:rtl/>
        </w:rPr>
        <w:t>' 157-154</w:t>
      </w:r>
      <w:r w:rsidR="006031B0" w:rsidRPr="004316F0">
        <w:rPr>
          <w:rFonts w:ascii="David" w:hAnsi="David" w:cs="David"/>
          <w:sz w:val="22"/>
          <w:szCs w:val="22"/>
        </w:rPr>
        <w:t>(</w:t>
      </w:r>
    </w:p>
    <w:sectPr w:rsidR="006031B0" w:rsidRPr="004316F0" w:rsidSect="00431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2F35" w14:textId="77777777" w:rsidR="00B12EB5" w:rsidRDefault="00B12EB5" w:rsidP="004316F0">
      <w:pPr>
        <w:spacing w:after="0" w:line="240" w:lineRule="auto"/>
      </w:pPr>
      <w:r>
        <w:separator/>
      </w:r>
    </w:p>
  </w:endnote>
  <w:endnote w:type="continuationSeparator" w:id="0">
    <w:p w14:paraId="0C8A6558" w14:textId="77777777" w:rsidR="00B12EB5" w:rsidRDefault="00B12EB5" w:rsidP="0043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3336" w14:textId="77777777" w:rsidR="004316F0" w:rsidRDefault="004316F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6A6B" w14:textId="77777777" w:rsidR="004316F0" w:rsidRDefault="004316F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13B5" w14:textId="77777777" w:rsidR="004316F0" w:rsidRDefault="004316F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C108" w14:textId="77777777" w:rsidR="00B12EB5" w:rsidRDefault="00B12EB5" w:rsidP="004316F0">
      <w:pPr>
        <w:spacing w:after="0" w:line="240" w:lineRule="auto"/>
      </w:pPr>
      <w:r>
        <w:separator/>
      </w:r>
    </w:p>
  </w:footnote>
  <w:footnote w:type="continuationSeparator" w:id="0">
    <w:p w14:paraId="68B337F1" w14:textId="77777777" w:rsidR="00B12EB5" w:rsidRDefault="00B12EB5" w:rsidP="0043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2D4D" w14:textId="77777777" w:rsidR="004316F0" w:rsidRDefault="004316F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4F3" w14:textId="5DB9BE0C" w:rsidR="004316F0" w:rsidRPr="004316F0" w:rsidRDefault="004316F0" w:rsidP="004316F0">
    <w:pPr>
      <w:pStyle w:val="ae"/>
      <w:jc w:val="right"/>
      <w:rPr>
        <w:rFonts w:ascii="David" w:hAnsi="David" w:cs="David"/>
        <w:u w:val="single"/>
      </w:rPr>
    </w:pPr>
    <w:r w:rsidRPr="004316F0">
      <w:rPr>
        <w:rFonts w:ascii="David" w:hAnsi="David" w:cs="David"/>
        <w:sz w:val="22"/>
        <w:szCs w:val="22"/>
        <w:u w:val="single"/>
        <w:rtl/>
      </w:rPr>
      <w:t>תורה שבעל פה, קיץ תשפ"ה, 5282- תשובון</w:t>
    </w:r>
    <w:r w:rsidRPr="004316F0">
      <w:rPr>
        <w:rFonts w:ascii="David" w:hAnsi="David" w:cs="David"/>
        <w:u w:val="single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CA0D" w14:textId="77777777" w:rsidR="004316F0" w:rsidRDefault="004316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59B"/>
    <w:multiLevelType w:val="hybridMultilevel"/>
    <w:tmpl w:val="C75E10E2"/>
    <w:lvl w:ilvl="0" w:tplc="A3E642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E6E55"/>
    <w:multiLevelType w:val="hybridMultilevel"/>
    <w:tmpl w:val="B34E3018"/>
    <w:lvl w:ilvl="0" w:tplc="A3E642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F0FBB"/>
    <w:multiLevelType w:val="hybridMultilevel"/>
    <w:tmpl w:val="BE1C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2FD4"/>
    <w:multiLevelType w:val="hybridMultilevel"/>
    <w:tmpl w:val="1EB8CCC4"/>
    <w:lvl w:ilvl="0" w:tplc="A3E642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63990"/>
    <w:multiLevelType w:val="hybridMultilevel"/>
    <w:tmpl w:val="9040517A"/>
    <w:lvl w:ilvl="0" w:tplc="A3E642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00101"/>
    <w:multiLevelType w:val="hybridMultilevel"/>
    <w:tmpl w:val="AC7C918E"/>
    <w:lvl w:ilvl="0" w:tplc="52E806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72884"/>
    <w:multiLevelType w:val="hybridMultilevel"/>
    <w:tmpl w:val="7874757C"/>
    <w:lvl w:ilvl="0" w:tplc="A3E6427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04AA3"/>
    <w:multiLevelType w:val="hybridMultilevel"/>
    <w:tmpl w:val="56347428"/>
    <w:lvl w:ilvl="0" w:tplc="EC3C73B4">
      <w:start w:val="1"/>
      <w:numFmt w:val="hebrew1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68183C6F"/>
    <w:multiLevelType w:val="hybridMultilevel"/>
    <w:tmpl w:val="D3F4B3FA"/>
    <w:lvl w:ilvl="0" w:tplc="ED546338">
      <w:start w:val="2"/>
      <w:numFmt w:val="bullet"/>
      <w:lvlText w:val="—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0"/>
    <w:rsid w:val="00101AB6"/>
    <w:rsid w:val="0024755B"/>
    <w:rsid w:val="003359B5"/>
    <w:rsid w:val="004316F0"/>
    <w:rsid w:val="006031B0"/>
    <w:rsid w:val="00B12EB5"/>
    <w:rsid w:val="00BE4974"/>
    <w:rsid w:val="00C4197D"/>
    <w:rsid w:val="00D53CBC"/>
    <w:rsid w:val="00E4668B"/>
    <w:rsid w:val="00F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9376"/>
  <w15:chartTrackingRefBased/>
  <w15:docId w15:val="{E6CDA687-E30D-4A73-8631-D27E581C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0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0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0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0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031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031B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031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031B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031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031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0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0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0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1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031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31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4316F0"/>
  </w:style>
  <w:style w:type="paragraph" w:styleId="af0">
    <w:name w:val="footer"/>
    <w:basedOn w:val="a"/>
    <w:link w:val="af1"/>
    <w:uiPriority w:val="99"/>
    <w:unhideWhenUsed/>
    <w:rsid w:val="0043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43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פדור</dc:creator>
  <cp:keywords/>
  <dc:description/>
  <cp:lastModifiedBy>חיים שרקי</cp:lastModifiedBy>
  <cp:revision>2</cp:revision>
  <dcterms:created xsi:type="dcterms:W3CDTF">2025-09-08T08:50:00Z</dcterms:created>
  <dcterms:modified xsi:type="dcterms:W3CDTF">2025-09-08T08:50:00Z</dcterms:modified>
</cp:coreProperties>
</file>