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בתמוז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תשפ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ה</w:t>
      </w:r>
    </w:p>
    <w:p w:rsidR="00000000" w:rsidDel="00000000" w:rsidP="00000000" w:rsidRDefault="00000000" w:rsidRPr="00000000" w14:paraId="00000002">
      <w:pPr>
        <w:bidi w:val="1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3/7/25</w:t>
      </w:r>
    </w:p>
    <w:p w:rsidR="00000000" w:rsidDel="00000000" w:rsidP="00000000" w:rsidRDefault="00000000" w:rsidRPr="00000000" w14:paraId="00000003">
      <w:pPr>
        <w:bidi w:val="1"/>
        <w:spacing w:line="36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המדינה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שבדרך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מלחמות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ישראל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ותקומה</w:t>
      </w:r>
    </w:p>
    <w:p w:rsidR="00000000" w:rsidDel="00000000" w:rsidP="00000000" w:rsidRDefault="00000000" w:rsidRPr="00000000" w14:paraId="00000004">
      <w:pPr>
        <w:bidi w:val="1"/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1"/>
        </w:rPr>
        <w:t xml:space="preserve">משרד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החינוך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קבע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כי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יש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לחזק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הזהות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היהודית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בבתי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הספר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בהתאם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לכך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ולצורך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יישום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מדיניות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זו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מוצע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להוסיף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תוכניות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חינוכיות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ומענים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לסל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"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מורשת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וזהות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יהודית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"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בתוכנית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הגפ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"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ן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כולל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ביקורים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באתרים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ובמוזיאונים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ולהרחיב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אפשרויות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הבחירה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למנהלים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נימוק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המדיניות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המוצעת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הרחבת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האפשרויות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בגפ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תאפשר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יישום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מדיניות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המשרד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לחיזוק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הזהות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היהודית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ולשיפור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איכות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החינוך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בישראל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במענה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רחב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מגוון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ואיכותי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שילוב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גופים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חיצוניים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בפעילות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הספר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מחליף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התוכניות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המשרדיות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מוסיף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עליהן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סל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האפשרויות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מעניק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למנהלי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הספר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אוטונומיה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וגמישות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בבחירת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חינוכיים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בהתאם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לצרכים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הייחודיים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תלמידיהם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קהילתם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לחזון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הספר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ולהרכבו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החברתי</w:t>
      </w:r>
      <w:r w:rsidDel="00000000" w:rsidR="00000000" w:rsidRPr="00000000">
        <w:rPr>
          <w:sz w:val="24"/>
          <w:szCs w:val="24"/>
          <w:rtl w:val="1"/>
        </w:rPr>
        <w:t xml:space="preserve">-</w:t>
      </w:r>
      <w:r w:rsidDel="00000000" w:rsidR="00000000" w:rsidRPr="00000000">
        <w:rPr>
          <w:sz w:val="24"/>
          <w:szCs w:val="24"/>
          <w:rtl w:val="1"/>
        </w:rPr>
        <w:t xml:space="preserve">תרבותי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לציין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חיצוני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שאושר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במכרז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המאגר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ספקי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גפ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ן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עובר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תהליך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בקרה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מקצועית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המשך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חיזוק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מנגנוני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הפיקוח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וההערכה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יבטיח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שההדרכה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והתכנים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המוצעים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יהיו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גבוהה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המדינה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שבדרך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מלחמות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ישראל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ותקומה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1"/>
        </w:rPr>
        <w:t xml:space="preserve">בקטגוריה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זו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בתת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הסל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נכללים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תוכניות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ומענים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חינוכיים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שעוסקים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 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במדינה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שבדרך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במלחמות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ישראל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ובמורשת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קרב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נושאים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אלו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נוגעים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בלב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ההיסטוריה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וההוויה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מדינת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ישראל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מלחמות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ישראל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מאז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הקמת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המדינה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ועד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היום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הציבו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אתגר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משמעותי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ואבן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דרך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בתולדות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הציונות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והעם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היהודי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במדינתו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וקורותיהן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עיצבו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תודעתנו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הלאומית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ואת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ערכי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הרעות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הערבות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ההדדית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הנחישות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המסירות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והנאמנות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למדינת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ישראל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משום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שמורשת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זו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מעצבת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הזהות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הישראלית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חובה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עלינו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לזכור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אותה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ולהעבירה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לדורות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הבאים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התוכניות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 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והמענים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בתת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סל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זה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מסייעים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להבין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ולהפנים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הקשר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העמוק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שבין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תולדות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מלחמות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ישראל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לבין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הבסיס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הערכי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אהבת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הארץ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 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והכרתה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ומעמיקים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בסיס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הידע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ההיסטורי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החשוב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לעם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הרוצה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עתיד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דבר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זה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עולה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בקנה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אחד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עם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מטרות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החינוך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המפורטות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בחוק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החינוך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הממלכתי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spacing w:line="36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line="36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line="36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חבל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תקומה</w:t>
      </w:r>
    </w:p>
    <w:p w:rsidR="00000000" w:rsidDel="00000000" w:rsidP="00000000" w:rsidRDefault="00000000" w:rsidRPr="00000000" w14:paraId="0000000C">
      <w:pPr>
        <w:bidi w:val="1"/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1"/>
        </w:rPr>
        <w:t xml:space="preserve">סיורים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לצפון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מערב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הנגב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(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שדרות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רבתי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אופקים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יישובים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במועצות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האזוריות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אשכול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חוף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אשקלון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שדות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נגב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שער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הנגב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וכו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'),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לאתרים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ולאנדרטות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המסמלים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הגבורה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היישובים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שנפגעו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בשבעה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באוקטובר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ובמהלך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מלחמת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חרבות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ברזל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כוחות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הביטחון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ושל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חיילי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צה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"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ל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התלמידים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יבקרו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באתרים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ייפגשו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עם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דמויות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מעוררות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השראה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יזדהו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עם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סיפורי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האנשים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והמקומות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יוקירו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גבורתם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ויכירו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הגיאוגרפיה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חבל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ארץ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זה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מתווה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הסיורים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שיתואם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עם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מורי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השל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"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ח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ועם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רכזי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הטיולים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יודגש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כי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יש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לפעול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בכפוף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להנחיות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הלשכה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לתיאום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טיולים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וחדר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מצב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וכי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יש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לקיים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הכנה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רגשית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חברתית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וערכית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לתלמידים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טרם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היציאה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לשטח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ועל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פי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נוהל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שהוציאו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אגף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שפ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"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י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ומינהל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חברה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ונוער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  </w:t>
      </w:r>
      <w:hyperlink r:id="rId6">
        <w:r w:rsidDel="00000000" w:rsidR="00000000" w:rsidRPr="00000000">
          <w:rPr>
            <w:color w:val="0563c1"/>
            <w:sz w:val="24"/>
            <w:szCs w:val="24"/>
            <w:highlight w:val="yellow"/>
            <w:u w:val="single"/>
            <w:rtl w:val="1"/>
          </w:rPr>
          <w:t xml:space="preserve">לפרטים</w:t>
        </w:r>
      </w:hyperlink>
      <w:hyperlink r:id="rId7">
        <w:r w:rsidDel="00000000" w:rsidR="00000000" w:rsidRPr="00000000">
          <w:rPr>
            <w:color w:val="0563c1"/>
            <w:sz w:val="24"/>
            <w:szCs w:val="24"/>
            <w:highlight w:val="yellow"/>
            <w:u w:val="single"/>
            <w:rtl w:val="1"/>
          </w:rPr>
          <w:t xml:space="preserve"> </w:t>
        </w:r>
      </w:hyperlink>
      <w:hyperlink r:id="rId8">
        <w:r w:rsidDel="00000000" w:rsidR="00000000" w:rsidRPr="00000000">
          <w:rPr>
            <w:color w:val="0563c1"/>
            <w:sz w:val="24"/>
            <w:szCs w:val="24"/>
            <w:highlight w:val="yellow"/>
            <w:u w:val="single"/>
            <w:rtl w:val="1"/>
          </w:rPr>
          <w:t xml:space="preserve">נוספים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line="36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מטרות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תת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הסל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line="360" w:lineRule="auto"/>
        <w:ind w:left="1077" w:hanging="35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1"/>
        </w:rPr>
        <w:t xml:space="preserve">עידוד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גילויי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מנהיגות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חיזוק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החוסן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האישי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והקהילתי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הדגשת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ערך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הנתינה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והתרומה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לקהילה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ולחברה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line="360" w:lineRule="auto"/>
        <w:ind w:left="1077" w:hanging="35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1"/>
        </w:rPr>
        <w:t xml:space="preserve">הגברת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הנכונות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והמוכנות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לשירות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צבאי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משמעותי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bidi w:val="1"/>
        <w:spacing w:line="360" w:lineRule="auto"/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1"/>
        </w:rPr>
        <w:t xml:space="preserve">העמקת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תחושת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הזהות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והשייכות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הלאומית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למדינת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ישראל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כמדינה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יהודית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ודמוקרטית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תנאי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סף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לשילוב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תוכניות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ומענים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בתת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הסל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bidi w:val="1"/>
        <w:spacing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1"/>
        </w:rPr>
        <w:t xml:space="preserve">מוזיאונים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ואתרים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המתייחסים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לתקופות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ממלחמת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העולם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הראשונה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בשנת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1914,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המדינה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שבדרך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המנדט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הבריטי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ועד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היום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bidi w:val="1"/>
        <w:spacing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1"/>
        </w:rPr>
        <w:t xml:space="preserve">סיורים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בחבל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תקומה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בצפון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מערב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הנגב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–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יתקיימו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פי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תוכנית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חינוכית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באישור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רכז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הטיולים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הבית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ספרי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תחת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יוזמות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אפשר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להשתמש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בסל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יוזמות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לאוטובוסים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ולהדרכה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בהתאם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לתת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הסל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5">
      <w:pPr>
        <w:bidi w:val="1"/>
        <w:spacing w:line="36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רשימת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התוכניות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והמענים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העומדים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בתנאי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הסף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שצוינו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לעיל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ויוכרו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כחלק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מאחוזי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החובה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(4%)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שיש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להקצות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לסל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מורשת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וזהות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יהודית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רשימת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מוזיאונים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ממאגר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התוכניות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החינוכיות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טבלה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מתכללת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המצורפת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חברתיים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ערכיים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קהילתיים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המועצה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מוזיאונים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הנתמכים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חברתיים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קהילתיים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המועצה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חינוך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במוזיאונים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ובסלים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1A">
      <w:pPr>
        <w:bidi w:val="1"/>
        <w:spacing w:line="360" w:lineRule="auto"/>
        <w:jc w:val="both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פירוט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התוכניות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בתת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סל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מענים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חברתיים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-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ערכיים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-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קהילתיים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 (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סעיף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 2)</w:t>
      </w:r>
    </w:p>
    <w:tbl>
      <w:tblPr>
        <w:tblStyle w:val="Table1"/>
        <w:bidiVisual w:val="1"/>
        <w:tblW w:w="14775.0" w:type="dxa"/>
        <w:jc w:val="left"/>
        <w:tblInd w:w="-851.0" w:type="dxa"/>
        <w:tblLayout w:type="fixed"/>
        <w:tblLook w:val="0400"/>
      </w:tblPr>
      <w:tblGrid>
        <w:gridCol w:w="744"/>
        <w:gridCol w:w="851"/>
        <w:gridCol w:w="9823"/>
        <w:gridCol w:w="3357"/>
        <w:tblGridChange w:id="0">
          <w:tblGrid>
            <w:gridCol w:w="744"/>
            <w:gridCol w:w="851"/>
            <w:gridCol w:w="9823"/>
            <w:gridCol w:w="3357"/>
          </w:tblGrid>
        </w:tblGridChange>
      </w:tblGrid>
      <w:tr>
        <w:trPr>
          <w:cantSplit w:val="0"/>
          <w:trHeight w:val="51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dee8" w:val="clear"/>
          </w:tcPr>
          <w:p w:rsidR="00000000" w:rsidDel="00000000" w:rsidP="00000000" w:rsidRDefault="00000000" w:rsidRPr="00000000" w14:paraId="0000001B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מספר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dee8" w:val="clear"/>
          </w:tcPr>
          <w:p w:rsidR="00000000" w:rsidDel="00000000" w:rsidP="00000000" w:rsidRDefault="00000000" w:rsidRPr="00000000" w14:paraId="0000001C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מספר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תוכנית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dee8" w:val="clear"/>
          </w:tcPr>
          <w:p w:rsidR="00000000" w:rsidDel="00000000" w:rsidP="00000000" w:rsidRDefault="00000000" w:rsidRPr="00000000" w14:paraId="0000001D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שם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תוכנית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dee8" w:val="clear"/>
          </w:tcPr>
          <w:p w:rsidR="00000000" w:rsidDel="00000000" w:rsidP="00000000" w:rsidRDefault="00000000" w:rsidRPr="00000000" w14:paraId="0000001E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שם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הארגון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25538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בונים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קיבוץ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בנגב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מוזיאון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יד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מרדכי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מוזיאון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יד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מרדכי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39289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5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חדר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בריחה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במוזיאון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בית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גוריון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בית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גוריון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42007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9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חפש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הסליק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חצר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הראשונים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עין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שמר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44413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הכי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חלוצי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הכי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ישראלי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E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חצר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הראשונים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עין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שמר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38711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מוזיאון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הלוחם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היהודי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במלחמת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העולם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השנייה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חיים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הרצוג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מוזיאון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הלוחם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היהודי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העמותה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להקמת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מוזיאון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ללוחם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היהודי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במלחמת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העולם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השנייה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3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25491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משואה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לתקומה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ביד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מרדכי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מוזיאון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יד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מרדכי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6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מוזיאון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יד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מרדכי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8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25533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9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משואה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לתקומה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לחטיבות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ביניים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A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מוזיאון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יד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מרדכי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37175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D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סיפורו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"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הידיד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"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אורד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צ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'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ארלס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וינגייט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E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מוזיאון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בית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שטורמן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מוזיאון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ומכון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לידיעת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האזור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F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0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41689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תערוכות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וסדנאות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בבתי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ספר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יסודיים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שואה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ותקומה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מוזיאון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יד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מרדכי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3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17278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ליל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הגשרים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חדר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בריחה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אסקייפ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רום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)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בית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יגאל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אלון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מרכז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הנצחה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8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17324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ט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בנובמבר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בית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יגאל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אלון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מרכז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הנצחה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17914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תלמידים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לובשים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מדים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בית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יגאל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אלון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מרכז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הנצחה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41796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הרובע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בתש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בעקבות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לוחמים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חצר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היישוב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הישן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יצחק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קפלן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34357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חלום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לך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ירושלים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מוזיאון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מגדל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דוד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34655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השער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לירושלים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מוזיאון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מגדל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דוד</w:t>
            </w:r>
          </w:p>
        </w:tc>
      </w:tr>
    </w:tbl>
    <w:p w:rsidR="00000000" w:rsidDel="00000000" w:rsidP="00000000" w:rsidRDefault="00000000" w:rsidRPr="00000000" w14:paraId="0000005B">
      <w:pPr>
        <w:bidi w:val="1"/>
        <w:spacing w:line="36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bidi w:val="1"/>
        <w:spacing w:line="360" w:lineRule="auto"/>
        <w:jc w:val="both"/>
        <w:rPr>
          <w:b w:val="1"/>
          <w:color w:val="000000"/>
          <w:sz w:val="24"/>
          <w:szCs w:val="24"/>
          <w:u w:val="single"/>
        </w:rPr>
      </w:pPr>
      <w:hyperlink r:id="rId9">
        <w:r w:rsidDel="00000000" w:rsidR="00000000" w:rsidRPr="00000000">
          <w:rPr>
            <w:b w:val="1"/>
            <w:color w:val="0563c1"/>
            <w:sz w:val="24"/>
            <w:szCs w:val="24"/>
            <w:highlight w:val="yellow"/>
            <w:u w:val="single"/>
            <w:rtl w:val="1"/>
          </w:rPr>
          <w:t xml:space="preserve">אתרים</w:t>
        </w:r>
      </w:hyperlink>
      <w:hyperlink r:id="rId10">
        <w:r w:rsidDel="00000000" w:rsidR="00000000" w:rsidRPr="00000000">
          <w:rPr>
            <w:b w:val="1"/>
            <w:color w:val="0563c1"/>
            <w:sz w:val="24"/>
            <w:szCs w:val="24"/>
            <w:highlight w:val="yellow"/>
            <w:u w:val="single"/>
            <w:rtl w:val="1"/>
          </w:rPr>
          <w:t xml:space="preserve"> </w:t>
        </w:r>
      </w:hyperlink>
      <w:hyperlink r:id="rId11">
        <w:r w:rsidDel="00000000" w:rsidR="00000000" w:rsidRPr="00000000">
          <w:rPr>
            <w:b w:val="1"/>
            <w:color w:val="0563c1"/>
            <w:sz w:val="24"/>
            <w:szCs w:val="24"/>
            <w:highlight w:val="yellow"/>
            <w:u w:val="single"/>
            <w:rtl w:val="1"/>
          </w:rPr>
          <w:t xml:space="preserve">תחת</w:t>
        </w:r>
      </w:hyperlink>
      <w:hyperlink r:id="rId12">
        <w:r w:rsidDel="00000000" w:rsidR="00000000" w:rsidRPr="00000000">
          <w:rPr>
            <w:b w:val="1"/>
            <w:color w:val="0563c1"/>
            <w:sz w:val="24"/>
            <w:szCs w:val="24"/>
            <w:highlight w:val="yellow"/>
            <w:u w:val="single"/>
            <w:rtl w:val="1"/>
          </w:rPr>
          <w:t xml:space="preserve"> </w:t>
        </w:r>
      </w:hyperlink>
      <w:hyperlink r:id="rId13">
        <w:r w:rsidDel="00000000" w:rsidR="00000000" w:rsidRPr="00000000">
          <w:rPr>
            <w:b w:val="1"/>
            <w:color w:val="0563c1"/>
            <w:sz w:val="24"/>
            <w:szCs w:val="24"/>
            <w:highlight w:val="yellow"/>
            <w:u w:val="single"/>
            <w:rtl w:val="1"/>
          </w:rPr>
          <w:t xml:space="preserve">המועצה</w:t>
        </w:r>
      </w:hyperlink>
      <w:hyperlink r:id="rId14">
        <w:r w:rsidDel="00000000" w:rsidR="00000000" w:rsidRPr="00000000">
          <w:rPr>
            <w:b w:val="1"/>
            <w:color w:val="0563c1"/>
            <w:sz w:val="24"/>
            <w:szCs w:val="24"/>
            <w:highlight w:val="yellow"/>
            <w:u w:val="single"/>
            <w:rtl w:val="1"/>
          </w:rPr>
          <w:t xml:space="preserve"> </w:t>
        </w:r>
      </w:hyperlink>
      <w:hyperlink r:id="rId15">
        <w:r w:rsidDel="00000000" w:rsidR="00000000" w:rsidRPr="00000000">
          <w:rPr>
            <w:b w:val="1"/>
            <w:color w:val="0563c1"/>
            <w:sz w:val="24"/>
            <w:szCs w:val="24"/>
            <w:highlight w:val="yellow"/>
            <w:u w:val="single"/>
            <w:rtl w:val="1"/>
          </w:rPr>
          <w:t xml:space="preserve">לשימור</w:t>
        </w:r>
      </w:hyperlink>
      <w:hyperlink r:id="rId16">
        <w:r w:rsidDel="00000000" w:rsidR="00000000" w:rsidRPr="00000000">
          <w:rPr>
            <w:b w:val="1"/>
            <w:color w:val="0563c1"/>
            <w:sz w:val="24"/>
            <w:szCs w:val="24"/>
            <w:highlight w:val="yellow"/>
            <w:u w:val="single"/>
            <w:rtl w:val="1"/>
          </w:rPr>
          <w:t xml:space="preserve"> </w:t>
        </w:r>
      </w:hyperlink>
      <w:hyperlink r:id="rId17">
        <w:r w:rsidDel="00000000" w:rsidR="00000000" w:rsidRPr="00000000">
          <w:rPr>
            <w:b w:val="1"/>
            <w:color w:val="0563c1"/>
            <w:sz w:val="24"/>
            <w:szCs w:val="24"/>
            <w:highlight w:val="yellow"/>
            <w:u w:val="single"/>
            <w:rtl w:val="1"/>
          </w:rPr>
          <w:t xml:space="preserve">אתרים</w:t>
        </w:r>
      </w:hyperlink>
      <w:hyperlink r:id="rId18">
        <w:r w:rsidDel="00000000" w:rsidR="00000000" w:rsidRPr="00000000">
          <w:rPr>
            <w:b w:val="1"/>
            <w:color w:val="0563c1"/>
            <w:sz w:val="24"/>
            <w:szCs w:val="24"/>
            <w:highlight w:val="yellow"/>
            <w:u w:val="single"/>
            <w:rtl w:val="1"/>
          </w:rPr>
          <w:t xml:space="preserve"> </w:t>
        </w:r>
      </w:hyperlink>
      <w:hyperlink r:id="rId19">
        <w:r w:rsidDel="00000000" w:rsidR="00000000" w:rsidRPr="00000000">
          <w:rPr>
            <w:b w:val="1"/>
            <w:color w:val="0563c1"/>
            <w:sz w:val="24"/>
            <w:szCs w:val="24"/>
            <w:highlight w:val="yellow"/>
            <w:u w:val="single"/>
            <w:rtl w:val="1"/>
          </w:rPr>
          <w:t xml:space="preserve">במאגר</w:t>
        </w:r>
      </w:hyperlink>
      <w:hyperlink r:id="rId20">
        <w:r w:rsidDel="00000000" w:rsidR="00000000" w:rsidRPr="00000000">
          <w:rPr>
            <w:b w:val="1"/>
            <w:color w:val="0563c1"/>
            <w:sz w:val="24"/>
            <w:szCs w:val="24"/>
            <w:highlight w:val="yellow"/>
            <w:u w:val="single"/>
            <w:rtl w:val="1"/>
          </w:rPr>
          <w:t xml:space="preserve"> </w:t>
        </w:r>
      </w:hyperlink>
      <w:hyperlink r:id="rId21">
        <w:r w:rsidDel="00000000" w:rsidR="00000000" w:rsidRPr="00000000">
          <w:rPr>
            <w:b w:val="1"/>
            <w:color w:val="0563c1"/>
            <w:sz w:val="24"/>
            <w:szCs w:val="24"/>
            <w:highlight w:val="yellow"/>
            <w:u w:val="single"/>
            <w:rtl w:val="1"/>
          </w:rPr>
          <w:t xml:space="preserve">מספר</w:t>
        </w:r>
      </w:hyperlink>
      <w:hyperlink r:id="rId22">
        <w:r w:rsidDel="00000000" w:rsidR="00000000" w:rsidRPr="00000000">
          <w:rPr>
            <w:b w:val="1"/>
            <w:color w:val="0563c1"/>
            <w:sz w:val="24"/>
            <w:szCs w:val="24"/>
            <w:highlight w:val="yellow"/>
            <w:u w:val="single"/>
            <w:rtl w:val="1"/>
          </w:rPr>
          <w:t xml:space="preserve"> 15522 (</w:t>
        </w:r>
      </w:hyperlink>
      <w:hyperlink r:id="rId23">
        <w:r w:rsidDel="00000000" w:rsidR="00000000" w:rsidRPr="00000000">
          <w:rPr>
            <w:b w:val="1"/>
            <w:color w:val="0563c1"/>
            <w:sz w:val="24"/>
            <w:szCs w:val="24"/>
            <w:highlight w:val="yellow"/>
            <w:u w:val="single"/>
            <w:rtl w:val="1"/>
          </w:rPr>
          <w:t xml:space="preserve">סעיף</w:t>
        </w:r>
      </w:hyperlink>
      <w:hyperlink r:id="rId24">
        <w:r w:rsidDel="00000000" w:rsidR="00000000" w:rsidRPr="00000000">
          <w:rPr>
            <w:b w:val="1"/>
            <w:color w:val="0563c1"/>
            <w:sz w:val="24"/>
            <w:szCs w:val="24"/>
            <w:highlight w:val="yellow"/>
            <w:u w:val="single"/>
            <w:rtl w:val="1"/>
          </w:rPr>
          <w:t xml:space="preserve"> 3)</w:t>
        </w:r>
      </w:hyperlink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 </w:t>
      </w:r>
    </w:p>
    <w:tbl>
      <w:tblPr>
        <w:tblStyle w:val="Table2"/>
        <w:bidiVisual w:val="1"/>
        <w:tblW w:w="4840.0" w:type="dxa"/>
        <w:jc w:val="left"/>
        <w:tblLayout w:type="fixed"/>
        <w:tblLook w:val="0400"/>
      </w:tblPr>
      <w:tblGrid>
        <w:gridCol w:w="3436"/>
        <w:gridCol w:w="1404"/>
        <w:tblGridChange w:id="0">
          <w:tblGrid>
            <w:gridCol w:w="3436"/>
            <w:gridCol w:w="1404"/>
          </w:tblGrid>
        </w:tblGridChange>
      </w:tblGrid>
      <w:tr>
        <w:trPr>
          <w:cantSplit w:val="0"/>
          <w:trHeight w:val="370" w:hRule="atLeast"/>
          <w:tblHeader w:val="0"/>
        </w:trPr>
        <w:tc>
          <w:tcPr>
            <w:gridSpan w:val="2"/>
            <w:tcBorders>
              <w:top w:color="002060" w:space="0" w:sz="12" w:val="single"/>
              <w:left w:color="002060" w:space="0" w:sz="12" w:val="single"/>
              <w:bottom w:color="000000" w:space="0" w:sz="4" w:val="single"/>
              <w:right w:color="00206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המדינה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שבדרך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5F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המרכז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להנצחת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חיילי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אנז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ק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60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באר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שבע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61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מוזיאון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סטרומה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62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באר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שבע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63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מצפה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בית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אשל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64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באר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שבע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65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כפר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הנוער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החקלאי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כדורי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66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בי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ס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כדורי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67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מצודת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ביריה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68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ביריה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69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הצריף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משפחת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צבי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6A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בית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קשת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6B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בית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מורשת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משטרת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ישראל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6C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בית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שמש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6D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מצפה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גבולות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6E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גבולות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6F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מתחם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מורשת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שובך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יוני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הדואר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הצה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לי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70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גבעת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ברנר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71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בית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אהרנסון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מוזיאון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ניל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72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זיכרון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יעקב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73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לגעת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בנצח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" –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בית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הדסה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74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חברון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75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מצודת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חוקוק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76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חוקוק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77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מוזיאון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העפלה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וחיל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דוד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הכהן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78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חיפה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79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חומה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ומגדל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חניתה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7A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חניתה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7B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יגור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סיפור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מסלול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יגור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7C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יגור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7D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מוזיאון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אסירי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המחתרות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ירושלים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7E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ירושלים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7F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מרכז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מורשת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מנחם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בגין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80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ירושלים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81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צריף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הנשיא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יד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יצחק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צבי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82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ירושלים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83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אתר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הסליקים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84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כפר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גלעדי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85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מוזיאון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בית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השומר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86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כפר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גלעדי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87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מוזיאון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בית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הגדודים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88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מושב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אביחיל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89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מרכז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מבקרים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מקווה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ישראל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8A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מקווה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ישראל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8B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משטרת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נהלל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ההיסטורית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8C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משטרת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נהלל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8D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אתר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מערת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הפלמ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ח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8E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משמר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העמק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8F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המוזיאון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הפתוח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בנגבה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90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נגבה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91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הסליק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בנהלל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92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נהלל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93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מוזיאון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בית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שטורמן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94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עין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חרוד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מאוחד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95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מוזיאון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אסירי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המחתרות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עכו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96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עכו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97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מחנה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המעפילים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עתלית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98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עתלית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99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בית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אברהם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שפירא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9A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פתח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תקווה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9B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מצפה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רביבים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9C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רביבים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9D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אתר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הראשונים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בנגב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9E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רוחמה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9F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מכון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איילון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A0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רחובות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A1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שביל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מורשת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רמת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יוחנן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A2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רמת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יוחנן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A3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צריף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גוריון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A4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שדה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בוקר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A5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בית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חנה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סנש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A6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שדות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ים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A7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מוזיאון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האצ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בשוני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A8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שוני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A9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בית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גוריון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AA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תל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אביב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יפו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AB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בית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העצמאות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AC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תל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אביב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יפו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AD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מוזיאון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הגנה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"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AE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תל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אביב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יפו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AF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מוזיאון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האצ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בית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'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בוטינסקי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B0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תל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אביב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יפו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B1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מוזיאון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לח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B2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תל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אביב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יפו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B3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מוזיאון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מכון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'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בוטינסקי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B4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תל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אביב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יפו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B5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מוזיאון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חצר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תל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חי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B6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תל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חי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2060" w:space="0" w:sz="12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B7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מוזיאון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ראשון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לציון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2060" w:space="0" w:sz="12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B8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ראשון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לציון</w:t>
            </w:r>
          </w:p>
        </w:tc>
      </w:tr>
    </w:tbl>
    <w:p w:rsidR="00000000" w:rsidDel="00000000" w:rsidP="00000000" w:rsidRDefault="00000000" w:rsidRPr="00000000" w14:paraId="000000B9">
      <w:pPr>
        <w:bidi w:val="1"/>
        <w:spacing w:line="36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4700.0" w:type="dxa"/>
        <w:jc w:val="left"/>
        <w:tblLayout w:type="fixed"/>
        <w:tblLook w:val="0400"/>
      </w:tblPr>
      <w:tblGrid>
        <w:gridCol w:w="3457"/>
        <w:gridCol w:w="1243"/>
        <w:tblGridChange w:id="0">
          <w:tblGrid>
            <w:gridCol w:w="3457"/>
            <w:gridCol w:w="1243"/>
          </w:tblGrid>
        </w:tblGridChange>
      </w:tblGrid>
      <w:tr>
        <w:trPr>
          <w:cantSplit w:val="0"/>
          <w:trHeight w:val="370" w:hRule="atLeast"/>
          <w:tblHeader w:val="0"/>
        </w:trPr>
        <w:tc>
          <w:tcPr>
            <w:gridSpan w:val="2"/>
            <w:tcBorders>
              <w:top w:color="002060" w:space="0" w:sz="12" w:val="single"/>
              <w:left w:color="002060" w:space="0" w:sz="12" w:val="single"/>
              <w:bottom w:color="000000" w:space="0" w:sz="4" w:val="single"/>
              <w:right w:color="00206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מלחמות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ישראל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BC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מוזיאון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אילת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עירי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BD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אילת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BE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פארק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נהריים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BF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אשדות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יעקב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C0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מוזיאון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הרעות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C1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גליל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עליון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C2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נהריים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בגשר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גשר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הישנה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C3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גשר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C4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מוזיאון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אלי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כהן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C5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הרצליה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C6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מוזיאון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חוסמסה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יד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הגנה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"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C7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חולון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C8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אתר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שחזור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הקרב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בתש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ח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C9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יד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מרדכי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CA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גבעת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התחמושת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מוזיאון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ששת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הימים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CB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ירושלים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CC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בית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לוי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אשכול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CD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ירושלים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CE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מרכז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מורשת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גוש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עציון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CF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כפר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עציון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D0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מוזיאון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יד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לשריון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D1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לטרון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D2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אתר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המורשת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וההנצחה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גולני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D3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מחלף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גולני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D4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מצודת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יואב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D5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מצודת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יואב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D6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יד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לאישה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העברייה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הלוחמת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D7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ניצנים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D8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מעוז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מול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עזה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D9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סעד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DA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בארות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בנגב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DB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עלומים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DC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תחנת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הרכבת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ההיסטורית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בצמח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DD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צמח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DE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גן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לאומי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קסטל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DF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קסטל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E0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'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שער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הגיא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E1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שער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הגיא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E2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בית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הפלמ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ח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E3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תל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אביב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יפו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2060" w:space="0" w:sz="12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E4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מוזיאון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האצ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בתש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בית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גידי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2060" w:space="0" w:sz="12" w:val="single"/>
              <w:right w:color="002060" w:space="0" w:sz="12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E5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תל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אביב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יפו</w:t>
            </w:r>
          </w:p>
        </w:tc>
      </w:tr>
    </w:tbl>
    <w:p w:rsidR="00000000" w:rsidDel="00000000" w:rsidP="00000000" w:rsidRDefault="00000000" w:rsidRPr="00000000" w14:paraId="000000E6">
      <w:pPr>
        <w:bidi w:val="1"/>
        <w:spacing w:line="360" w:lineRule="auto"/>
        <w:jc w:val="both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bidi w:val="1"/>
        <w:spacing w:line="360" w:lineRule="auto"/>
        <w:jc w:val="both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bidi w:val="1"/>
        <w:spacing w:line="360" w:lineRule="auto"/>
        <w:jc w:val="both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bidi w:val="1"/>
        <w:spacing w:line="360" w:lineRule="auto"/>
        <w:jc w:val="both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bidi w:val="1"/>
        <w:spacing w:line="360" w:lineRule="auto"/>
        <w:jc w:val="both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bidi w:val="1"/>
        <w:spacing w:line="360" w:lineRule="auto"/>
        <w:jc w:val="both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bidi w:val="1"/>
        <w:spacing w:line="360" w:lineRule="auto"/>
        <w:jc w:val="both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מוזיאונים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הנתמכים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על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ידי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המשרד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 (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סעיף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 4)</w:t>
      </w:r>
    </w:p>
    <w:tbl>
      <w:tblPr>
        <w:tblStyle w:val="Table4"/>
        <w:bidiVisual w:val="1"/>
        <w:tblW w:w="10480.0" w:type="dxa"/>
        <w:jc w:val="left"/>
        <w:tblInd w:w="10.0" w:type="dxa"/>
        <w:tblLayout w:type="fixed"/>
        <w:tblLook w:val="0400"/>
      </w:tblPr>
      <w:tblGrid>
        <w:gridCol w:w="960"/>
        <w:gridCol w:w="2480"/>
        <w:gridCol w:w="1500"/>
        <w:gridCol w:w="5540"/>
        <w:tblGridChange w:id="0">
          <w:tblGrid>
            <w:gridCol w:w="960"/>
            <w:gridCol w:w="2480"/>
            <w:gridCol w:w="1500"/>
            <w:gridCol w:w="5540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002060" w:space="0" w:sz="12" w:val="single"/>
              <w:left w:color="002060" w:space="0" w:sz="12" w:val="single"/>
              <w:bottom w:color="002060" w:space="0" w:sz="4" w:val="single"/>
              <w:right w:color="002060" w:space="0" w:sz="4" w:val="single"/>
            </w:tcBorders>
            <w:shd w:fill="b7dee8" w:val="clear"/>
          </w:tcPr>
          <w:p w:rsidR="00000000" w:rsidDel="00000000" w:rsidP="00000000" w:rsidRDefault="00000000" w:rsidRPr="00000000" w14:paraId="000000ED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מספר</w:t>
            </w:r>
          </w:p>
        </w:tc>
        <w:tc>
          <w:tcPr>
            <w:tcBorders>
              <w:top w:color="002060" w:space="0" w:sz="12" w:val="single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b7dee8" w:val="clear"/>
          </w:tcPr>
          <w:p w:rsidR="00000000" w:rsidDel="00000000" w:rsidP="00000000" w:rsidRDefault="00000000" w:rsidRPr="00000000" w14:paraId="000000EE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שם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המוזיאון</w:t>
            </w:r>
          </w:p>
        </w:tc>
        <w:tc>
          <w:tcPr>
            <w:tcBorders>
              <w:top w:color="002060" w:space="0" w:sz="12" w:val="single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b7dee8" w:val="clear"/>
          </w:tcPr>
          <w:p w:rsidR="00000000" w:rsidDel="00000000" w:rsidP="00000000" w:rsidRDefault="00000000" w:rsidRPr="00000000" w14:paraId="000000EF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מיקום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tcBorders>
              <w:top w:color="002060" w:space="0" w:sz="12" w:val="single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b7dee8" w:val="clear"/>
          </w:tcPr>
          <w:p w:rsidR="00000000" w:rsidDel="00000000" w:rsidP="00000000" w:rsidRDefault="00000000" w:rsidRPr="00000000" w14:paraId="000000F0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הפעילות</w:t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2060" w:space="0" w:sz="4" w:val="single"/>
              <w:right w:color="00206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מוזיאון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ראשון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לציון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ראשון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לציון</w:t>
            </w:r>
          </w:p>
        </w:tc>
        <w:tc>
          <w:tcPr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היהלום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שבכתר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בגרות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חליפית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בתוכנית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יהלום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2060" w:space="0" w:sz="12" w:val="single"/>
              <w:bottom w:color="002060" w:space="0" w:sz="4" w:val="single"/>
              <w:right w:color="00206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בית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אהרנסון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מוזיאון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ניל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י</w:t>
            </w:r>
          </w:p>
        </w:tc>
        <w:tc>
          <w:tcPr>
            <w:vMerge w:val="restart"/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זיכרון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יעקב</w:t>
            </w:r>
          </w:p>
        </w:tc>
        <w:tc>
          <w:tcPr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סיפורה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ניל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”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2060" w:space="0" w:sz="12" w:val="single"/>
              <w:bottom w:color="002060" w:space="0" w:sz="4" w:val="single"/>
              <w:right w:color="00206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אהרון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אהרונסון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2060" w:space="0" w:sz="12" w:val="single"/>
              <w:bottom w:color="002060" w:space="0" w:sz="4" w:val="single"/>
              <w:right w:color="00206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סיפורן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שתי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מנהיגות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אסתר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המלכה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ושרה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אהרנסון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2060" w:space="0" w:sz="12" w:val="single"/>
              <w:bottom w:color="002060" w:space="0" w:sz="4" w:val="single"/>
              <w:right w:color="00206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לימוד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גילוי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וחקר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במוזיאון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ניל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י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2060" w:space="0" w:sz="12" w:val="single"/>
              <w:bottom w:color="002060" w:space="0" w:sz="4" w:val="single"/>
              <w:right w:color="00206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גלגולו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חפץ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בשרשרת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הדורות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2060" w:space="0" w:sz="12" w:val="single"/>
              <w:bottom w:color="002060" w:space="0" w:sz="4" w:val="single"/>
              <w:right w:color="00206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בין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עבר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לעתיד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קבלת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זהות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קבלת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אחריות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2060" w:space="0" w:sz="12" w:val="single"/>
              <w:bottom w:color="002060" w:space="0" w:sz="4" w:val="single"/>
              <w:right w:color="00206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בית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יגאל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אלון</w:t>
            </w:r>
          </w:p>
        </w:tc>
        <w:tc>
          <w:tcPr>
            <w:vMerge w:val="restart"/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קיבוץ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גינוסר</w:t>
            </w:r>
          </w:p>
        </w:tc>
        <w:tc>
          <w:tcPr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ליל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הגשרים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" –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חדר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בריחה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2060" w:space="0" w:sz="12" w:val="single"/>
              <w:bottom w:color="002060" w:space="0" w:sz="4" w:val="single"/>
              <w:right w:color="00206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ט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בנובמבר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2060" w:space="0" w:sz="12" w:val="single"/>
              <w:bottom w:color="002060" w:space="0" w:sz="4" w:val="single"/>
              <w:right w:color="00206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תלמידים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לובשים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מדים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2060" w:space="0" w:sz="4" w:val="single"/>
              <w:right w:color="00206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מוזיאון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בית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חיים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שטורמן</w:t>
            </w:r>
          </w:p>
        </w:tc>
        <w:tc>
          <w:tcPr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עין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חרוד</w:t>
            </w:r>
          </w:p>
        </w:tc>
        <w:tc>
          <w:tcPr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הידיד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" –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תוכנית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מנהיגות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בהשראת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דמותו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ופועלו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אורד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צ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'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ארלס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וינגייט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בעין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חרוד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2060" w:space="0" w:sz="4" w:val="single"/>
              <w:right w:color="00206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מוזיאון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חצר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הישוב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הישן</w:t>
            </w:r>
          </w:p>
        </w:tc>
        <w:tc>
          <w:tcPr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ירושלים</w:t>
            </w:r>
          </w:p>
        </w:tc>
        <w:tc>
          <w:tcPr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הרובע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בתש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2060" w:space="0" w:sz="12" w:val="single"/>
              <w:bottom w:color="002060" w:space="0" w:sz="4" w:val="single"/>
              <w:right w:color="00206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מוזיאון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עקבות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בעמק</w:t>
            </w:r>
          </w:p>
          <w:p w:rsidR="00000000" w:rsidDel="00000000" w:rsidP="00000000" w:rsidRDefault="00000000" w:rsidRPr="00000000" w14:paraId="00000123">
            <w:pPr>
              <w:bidi w:val="1"/>
              <w:spacing w:line="36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</w:tcPr>
          <w:p w:rsidR="00000000" w:rsidDel="00000000" w:rsidP="00000000" w:rsidRDefault="00000000" w:rsidRPr="00000000" w14:paraId="00000124">
            <w:pPr>
              <w:bidi w:val="1"/>
              <w:spacing w:line="36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גן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השלושה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הסחנה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נהיה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כולנו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חלוצים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2060" w:space="0" w:sz="12" w:val="single"/>
              <w:bottom w:color="002060" w:space="0" w:sz="4" w:val="single"/>
              <w:right w:color="00206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הו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שומר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מליל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" </w:t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2060" w:space="0" w:sz="12" w:val="single"/>
              <w:bottom w:color="002060" w:space="0" w:sz="4" w:val="single"/>
              <w:right w:color="00206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Merge w:val="restart"/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מוזיאון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חצר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תל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חי</w:t>
            </w:r>
          </w:p>
        </w:tc>
        <w:tc>
          <w:tcPr>
            <w:vMerge w:val="restart"/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תל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חי</w:t>
            </w:r>
          </w:p>
        </w:tc>
        <w:tc>
          <w:tcPr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סיור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במוזיאון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תל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חי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2060" w:space="0" w:sz="12" w:val="single"/>
              <w:bottom w:color="002060" w:space="0" w:sz="4" w:val="single"/>
              <w:right w:color="00206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סיור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באדר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2060" w:space="0" w:sz="12" w:val="single"/>
              <w:bottom w:color="002060" w:space="0" w:sz="4" w:val="single"/>
              <w:right w:color="00206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יום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מנהיגות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לנוער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באדר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2060" w:space="0" w:sz="12" w:val="single"/>
              <w:bottom w:color="002060" w:space="0" w:sz="4" w:val="single"/>
              <w:right w:color="00206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בנות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מצווה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2060" w:space="0" w:sz="12" w:val="single"/>
              <w:bottom w:color="002060" w:space="0" w:sz="4" w:val="single"/>
              <w:right w:color="00206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2060" w:space="0" w:sz="4" w:val="single"/>
              <w:bottom w:color="002060" w:space="0" w:sz="4" w:val="single"/>
              <w:right w:color="00206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תל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חי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כחצר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חקלאית</w:t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0000" w:space="0" w:sz="0" w:val="nil"/>
              <w:right w:color="00206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2060" w:space="0" w:sz="4" w:val="single"/>
              <w:bottom w:color="000000" w:space="0" w:sz="0" w:val="nil"/>
              <w:right w:color="002060" w:space="0" w:sz="4" w:val="single"/>
            </w:tcBorders>
            <w:shd w:fill="auto" w:val="clear"/>
          </w:tcPr>
          <w:p w:rsidR="00000000" w:rsidDel="00000000" w:rsidP="00000000" w:rsidRDefault="00000000" w:rsidRPr="00000000" w14:paraId="0000013F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מוזיאון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חצר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ראשונים</w:t>
            </w:r>
          </w:p>
        </w:tc>
        <w:tc>
          <w:tcPr>
            <w:tcBorders>
              <w:top w:color="000000" w:space="0" w:sz="0" w:val="nil"/>
              <w:left w:color="002060" w:space="0" w:sz="4" w:val="single"/>
              <w:bottom w:color="000000" w:space="0" w:sz="0" w:val="nil"/>
              <w:right w:color="002060" w:space="0" w:sz="4" w:val="single"/>
            </w:tcBorders>
            <w:shd w:fill="auto" w:val="clear"/>
          </w:tcPr>
          <w:p w:rsidR="00000000" w:rsidDel="00000000" w:rsidP="00000000" w:rsidRDefault="00000000" w:rsidRPr="00000000" w14:paraId="00000140">
            <w:pPr>
              <w:bidi w:val="1"/>
              <w:spacing w:line="36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קיבוץ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עין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שמר</w:t>
            </w:r>
          </w:p>
        </w:tc>
        <w:tc>
          <w:tcPr>
            <w:tcBorders>
              <w:top w:color="000000" w:space="0" w:sz="0" w:val="nil"/>
              <w:left w:color="002060" w:space="0" w:sz="4" w:val="single"/>
              <w:bottom w:color="000000" w:space="0" w:sz="0" w:val="nil"/>
              <w:right w:color="002060" w:space="0" w:sz="4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אתגרי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הגנה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וביטחון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tcBorders>
              <w:top w:color="000000" w:space="0" w:sz="0" w:val="nil"/>
              <w:left w:color="002060" w:space="0" w:sz="12" w:val="single"/>
              <w:bottom w:color="002060" w:space="0" w:sz="12" w:val="single"/>
              <w:right w:color="00206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2060" w:space="0" w:sz="4" w:val="single"/>
              <w:bottom w:color="002060" w:space="0" w:sz="12" w:val="single"/>
              <w:right w:color="002060" w:space="0" w:sz="4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2060" w:space="0" w:sz="4" w:val="single"/>
              <w:bottom w:color="002060" w:space="0" w:sz="12" w:val="single"/>
              <w:right w:color="002060" w:space="0" w:sz="4" w:val="single"/>
            </w:tcBorders>
            <w:shd w:fill="auto" w:val="clear"/>
          </w:tcPr>
          <w:p w:rsidR="00000000" w:rsidDel="00000000" w:rsidP="00000000" w:rsidRDefault="00000000" w:rsidRPr="00000000" w14:paraId="00000144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2060" w:space="0" w:sz="4" w:val="single"/>
              <w:bottom w:color="002060" w:space="0" w:sz="12" w:val="single"/>
              <w:right w:color="002060" w:space="0" w:sz="4" w:val="single"/>
            </w:tcBorders>
            <w:shd w:fill="auto" w:val="clear"/>
          </w:tcPr>
          <w:p w:rsidR="00000000" w:rsidDel="00000000" w:rsidP="00000000" w:rsidRDefault="00000000" w:rsidRPr="00000000" w14:paraId="00000145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הכי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חלוצי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הכי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ישראלי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46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חפש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הסליק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47">
      <w:pPr>
        <w:bidi w:val="1"/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1041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55"/>
        <w:gridCol w:w="2410"/>
        <w:gridCol w:w="1418"/>
        <w:gridCol w:w="5528"/>
        <w:tblGridChange w:id="0">
          <w:tblGrid>
            <w:gridCol w:w="1055"/>
            <w:gridCol w:w="2410"/>
            <w:gridCol w:w="1418"/>
            <w:gridCol w:w="5528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48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9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מוזיאון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מגדל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דוד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A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ירושלים</w:t>
            </w:r>
          </w:p>
        </w:tc>
        <w:tc>
          <w:tcPr/>
          <w:p w:rsidR="00000000" w:rsidDel="00000000" w:rsidP="00000000" w:rsidRDefault="00000000" w:rsidRPr="00000000" w14:paraId="0000014B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חלום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לך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ירושלים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השער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לירושלים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0">
            <w:pPr>
              <w:bidi w:val="1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51">
            <w:pPr>
              <w:bidi w:val="1"/>
              <w:spacing w:line="36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מוזיאון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בית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המאירי</w:t>
            </w:r>
          </w:p>
          <w:p w:rsidR="00000000" w:rsidDel="00000000" w:rsidP="00000000" w:rsidRDefault="00000000" w:rsidRPr="00000000" w14:paraId="00000152">
            <w:pPr>
              <w:bidi w:val="1"/>
              <w:spacing w:line="36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צפת</w:t>
            </w:r>
          </w:p>
        </w:tc>
        <w:tc>
          <w:tcPr/>
          <w:p w:rsidR="00000000" w:rsidDel="00000000" w:rsidP="00000000" w:rsidRDefault="00000000" w:rsidRPr="00000000" w14:paraId="00000154">
            <w:pPr>
              <w:bidi w:val="1"/>
              <w:spacing w:line="36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צפת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בתש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ח</w:t>
            </w:r>
          </w:p>
        </w:tc>
      </w:tr>
    </w:tbl>
    <w:p w:rsidR="00000000" w:rsidDel="00000000" w:rsidP="00000000" w:rsidRDefault="00000000" w:rsidRPr="00000000" w14:paraId="00000155">
      <w:pPr>
        <w:bidi w:val="1"/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bidi w:val="1"/>
        <w:spacing w:line="36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bidi w:val="1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בברכה</w:t>
      </w:r>
      <w:r w:rsidDel="00000000" w:rsidR="00000000" w:rsidRPr="00000000">
        <w:rPr>
          <w:sz w:val="24"/>
          <w:szCs w:val="24"/>
          <w:rtl w:val="1"/>
        </w:rPr>
        <w:t xml:space="preserve">, </w:t>
      </w:r>
    </w:p>
    <w:p w:rsidR="00000000" w:rsidDel="00000000" w:rsidP="00000000" w:rsidRDefault="00000000" w:rsidRPr="00000000" w14:paraId="00000158">
      <w:pPr>
        <w:bidi w:val="1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גור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רוזנבלט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סמנכ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ומנהל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מינהל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חברה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ונוער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159">
      <w:pPr>
        <w:bidi w:val="1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שושי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שפיגל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ממונה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חח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ק</w:t>
      </w:r>
    </w:p>
    <w:p w:rsidR="00000000" w:rsidDel="00000000" w:rsidP="00000000" w:rsidRDefault="00000000" w:rsidRPr="00000000" w14:paraId="0000015A">
      <w:pPr>
        <w:bidi w:val="1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עדי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אורן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אגף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וידיעת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הארץ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15B">
      <w:pPr>
        <w:bidi w:val="1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סימה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עובדיה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פורצנל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מנהלת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אגף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יישומי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חוק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ומדיניות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sectPr>
      <w:headerReference r:id="rId25" w:type="default"/>
      <w:pgSz w:h="11906" w:w="16838" w:orient="landscape"/>
      <w:pgMar w:bottom="1800" w:top="180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5138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3143250</wp:posOffset>
          </wp:positionH>
          <wp:positionV relativeFrom="paragraph">
            <wp:posOffset>-363219</wp:posOffset>
          </wp:positionV>
          <wp:extent cx="2311400" cy="105177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11400" cy="105177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shimur.org/sitesgefen/" TargetMode="External"/><Relationship Id="rId22" Type="http://schemas.openxmlformats.org/officeDocument/2006/relationships/hyperlink" Target="https://shimur.org/sitesgefen/" TargetMode="External"/><Relationship Id="rId21" Type="http://schemas.openxmlformats.org/officeDocument/2006/relationships/hyperlink" Target="https://shimur.org/sitesgefen/" TargetMode="External"/><Relationship Id="rId24" Type="http://schemas.openxmlformats.org/officeDocument/2006/relationships/hyperlink" Target="https://shimur.org/sitesgefen/" TargetMode="External"/><Relationship Id="rId23" Type="http://schemas.openxmlformats.org/officeDocument/2006/relationships/hyperlink" Target="https://shimur.org/sitesgefen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himur.org/sitesgefen/" TargetMode="External"/><Relationship Id="rId25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0Zpf_SOvRL0Qjjs7NoKF0uNrZBl5l5IYzn881f_OEzk/edit?usp=sharing" TargetMode="External"/><Relationship Id="rId7" Type="http://schemas.openxmlformats.org/officeDocument/2006/relationships/hyperlink" Target="https://docs.google.com/document/d/10Zpf_SOvRL0Qjjs7NoKF0uNrZBl5l5IYzn881f_OEzk/edit?usp=sharing" TargetMode="External"/><Relationship Id="rId8" Type="http://schemas.openxmlformats.org/officeDocument/2006/relationships/hyperlink" Target="https://docs.google.com/document/d/10Zpf_SOvRL0Qjjs7NoKF0uNrZBl5l5IYzn881f_OEzk/edit?usp=sharing" TargetMode="External"/><Relationship Id="rId11" Type="http://schemas.openxmlformats.org/officeDocument/2006/relationships/hyperlink" Target="https://shimur.org/sitesgefen/" TargetMode="External"/><Relationship Id="rId10" Type="http://schemas.openxmlformats.org/officeDocument/2006/relationships/hyperlink" Target="https://shimur.org/sitesgefen/" TargetMode="External"/><Relationship Id="rId13" Type="http://schemas.openxmlformats.org/officeDocument/2006/relationships/hyperlink" Target="https://shimur.org/sitesgefen/" TargetMode="External"/><Relationship Id="rId12" Type="http://schemas.openxmlformats.org/officeDocument/2006/relationships/hyperlink" Target="https://shimur.org/sitesgefen/" TargetMode="External"/><Relationship Id="rId15" Type="http://schemas.openxmlformats.org/officeDocument/2006/relationships/hyperlink" Target="https://shimur.org/sitesgefen/" TargetMode="External"/><Relationship Id="rId14" Type="http://schemas.openxmlformats.org/officeDocument/2006/relationships/hyperlink" Target="https://shimur.org/sitesgefen/" TargetMode="External"/><Relationship Id="rId17" Type="http://schemas.openxmlformats.org/officeDocument/2006/relationships/hyperlink" Target="https://shimur.org/sitesgefen/" TargetMode="External"/><Relationship Id="rId16" Type="http://schemas.openxmlformats.org/officeDocument/2006/relationships/hyperlink" Target="https://shimur.org/sitesgefen/" TargetMode="External"/><Relationship Id="rId19" Type="http://schemas.openxmlformats.org/officeDocument/2006/relationships/hyperlink" Target="https://shimur.org/sitesgefen/" TargetMode="External"/><Relationship Id="rId18" Type="http://schemas.openxmlformats.org/officeDocument/2006/relationships/hyperlink" Target="https://shimur.org/sitesgefen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