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EC22C" w14:textId="77777777" w:rsidR="0084529E" w:rsidRDefault="0084529E" w:rsidP="0084529E">
      <w:pPr>
        <w:jc w:val="center"/>
        <w:rPr>
          <w:b/>
          <w:bCs/>
          <w:rtl/>
        </w:rPr>
      </w:pPr>
      <w:r w:rsidRPr="00867965">
        <w:rPr>
          <w:rFonts w:hint="cs"/>
          <w:b/>
          <w:bCs/>
          <w:rtl/>
        </w:rPr>
        <w:t>ניתן למצוא באתר המפמ"ר שיעורים נוספים בנושאים מגוונים</w:t>
      </w:r>
    </w:p>
    <w:p w14:paraId="5A6BE48E" w14:textId="77777777" w:rsidR="0084529E" w:rsidRPr="00867965" w:rsidRDefault="0084529E" w:rsidP="0084529E">
      <w:pPr>
        <w:jc w:val="center"/>
        <w:rPr>
          <w:b/>
          <w:bCs/>
          <w:rtl/>
        </w:rPr>
      </w:pPr>
    </w:p>
    <w:p w14:paraId="782BFBDE" w14:textId="77777777" w:rsidR="008D68D9" w:rsidRDefault="008D68D9" w:rsidP="008D68D9">
      <w:pPr>
        <w:jc w:val="center"/>
        <w:rPr>
          <w:rtl/>
        </w:rPr>
      </w:pPr>
    </w:p>
    <w:p w14:paraId="4A6A5D26" w14:textId="77777777" w:rsidR="0084529E" w:rsidRDefault="0084529E" w:rsidP="008D68D9">
      <w:pPr>
        <w:jc w:val="center"/>
        <w:rPr>
          <w:rtl/>
        </w:rPr>
      </w:pPr>
    </w:p>
    <w:tbl>
      <w:tblPr>
        <w:bidiVisual/>
        <w:tblW w:w="5637" w:type="pct"/>
        <w:tblInd w:w="-828" w:type="dxa"/>
        <w:tblBorders>
          <w:top w:val="single" w:sz="4" w:space="0" w:color="365F91"/>
          <w:left w:val="single" w:sz="4" w:space="0" w:color="365F91"/>
          <w:bottom w:val="single" w:sz="4" w:space="0" w:color="365F91"/>
          <w:right w:val="single" w:sz="4" w:space="0" w:color="365F91"/>
          <w:insideH w:val="single" w:sz="6" w:space="0" w:color="365F91"/>
          <w:insideV w:val="single" w:sz="6" w:space="0" w:color="365F91"/>
        </w:tblBorders>
        <w:tblLook w:val="04A0" w:firstRow="1" w:lastRow="0" w:firstColumn="1" w:lastColumn="0" w:noHBand="0" w:noVBand="1"/>
      </w:tblPr>
      <w:tblGrid>
        <w:gridCol w:w="1819"/>
        <w:gridCol w:w="3478"/>
        <w:gridCol w:w="9617"/>
      </w:tblGrid>
      <w:tr w:rsidR="008D68D9" w:rsidRPr="00687FFB" w14:paraId="35C0709C" w14:textId="77777777" w:rsidTr="00704A23">
        <w:trPr>
          <w:trHeight w:val="817"/>
        </w:trPr>
        <w:tc>
          <w:tcPr>
            <w:tcW w:w="1776" w:type="pct"/>
            <w:gridSpan w:val="2"/>
          </w:tcPr>
          <w:p w14:paraId="6D844B0D" w14:textId="77777777" w:rsidR="008D68D9" w:rsidRPr="00687FFB" w:rsidRDefault="008D68D9" w:rsidP="00704A23">
            <w:pPr>
              <w:spacing w:line="240" w:lineRule="auto"/>
              <w:jc w:val="both"/>
              <w:rPr>
                <w:rFonts w:ascii="Arial" w:hAnsi="Arial"/>
                <w:b/>
                <w:bCs/>
                <w:sz w:val="24"/>
                <w:szCs w:val="24"/>
              </w:rPr>
            </w:pPr>
            <w:r w:rsidRPr="00687FFB">
              <w:rPr>
                <w:rFonts w:ascii="Arial" w:hAnsi="Arial" w:hint="cs"/>
                <w:b/>
                <w:bCs/>
                <w:noProof/>
                <w:sz w:val="24"/>
                <w:szCs w:val="24"/>
                <w:rtl/>
              </w:rPr>
              <w:t>נושא השיעור</w:t>
            </w:r>
          </w:p>
          <w:p w14:paraId="0740202C" w14:textId="77777777" w:rsidR="008D68D9" w:rsidRPr="00687FFB" w:rsidRDefault="008D68D9" w:rsidP="00704A23">
            <w:pPr>
              <w:rPr>
                <w:rFonts w:ascii="Arial" w:hAnsi="Arial"/>
                <w:sz w:val="24"/>
                <w:szCs w:val="24"/>
              </w:rPr>
            </w:pPr>
          </w:p>
        </w:tc>
        <w:tc>
          <w:tcPr>
            <w:tcW w:w="3224" w:type="pct"/>
          </w:tcPr>
          <w:p w14:paraId="421EE192" w14:textId="77777777" w:rsidR="008D68D9" w:rsidRPr="00AD2405" w:rsidRDefault="001D5E47" w:rsidP="00704A23">
            <w:pPr>
              <w:spacing w:line="240" w:lineRule="auto"/>
              <w:rPr>
                <w:rFonts w:ascii="Arial" w:hAnsi="Arial"/>
                <w:sz w:val="24"/>
                <w:szCs w:val="24"/>
              </w:rPr>
            </w:pPr>
            <w:r w:rsidRPr="00AD2405">
              <w:rPr>
                <w:rFonts w:ascii="Arial" w:hAnsi="Arial" w:hint="cs"/>
                <w:sz w:val="24"/>
                <w:szCs w:val="24"/>
                <w:rtl/>
              </w:rPr>
              <w:t>שלוש השבועות</w:t>
            </w:r>
          </w:p>
        </w:tc>
      </w:tr>
      <w:tr w:rsidR="008D68D9" w:rsidRPr="00687FFB" w14:paraId="5B1FF753" w14:textId="77777777" w:rsidTr="00704A23">
        <w:trPr>
          <w:trHeight w:val="817"/>
        </w:trPr>
        <w:tc>
          <w:tcPr>
            <w:tcW w:w="1776" w:type="pct"/>
            <w:gridSpan w:val="2"/>
          </w:tcPr>
          <w:p w14:paraId="32ACF0F5" w14:textId="77777777" w:rsidR="008D68D9" w:rsidRPr="00687FFB" w:rsidRDefault="008D68D9" w:rsidP="00704A23">
            <w:pPr>
              <w:spacing w:line="240" w:lineRule="auto"/>
              <w:jc w:val="both"/>
              <w:rPr>
                <w:rFonts w:ascii="Arial" w:hAnsi="Arial"/>
                <w:b/>
                <w:bCs/>
                <w:noProof/>
                <w:sz w:val="24"/>
                <w:szCs w:val="24"/>
              </w:rPr>
            </w:pPr>
            <w:r w:rsidRPr="00687FFB">
              <w:rPr>
                <w:rFonts w:ascii="Arial" w:hAnsi="Arial" w:hint="cs"/>
                <w:b/>
                <w:bCs/>
                <w:noProof/>
                <w:sz w:val="24"/>
                <w:szCs w:val="24"/>
                <w:rtl/>
              </w:rPr>
              <w:t>נכתב ע"י</w:t>
            </w:r>
          </w:p>
        </w:tc>
        <w:tc>
          <w:tcPr>
            <w:tcW w:w="3224" w:type="pct"/>
          </w:tcPr>
          <w:p w14:paraId="2FA4AA24" w14:textId="77777777" w:rsidR="008D68D9" w:rsidRPr="00AD2405" w:rsidRDefault="001D5E47" w:rsidP="00704A23">
            <w:pPr>
              <w:rPr>
                <w:sz w:val="24"/>
                <w:szCs w:val="24"/>
                <w:rtl/>
              </w:rPr>
            </w:pPr>
            <w:r w:rsidRPr="00AD2405">
              <w:rPr>
                <w:rFonts w:hint="cs"/>
                <w:sz w:val="24"/>
                <w:szCs w:val="24"/>
                <w:rtl/>
              </w:rPr>
              <w:t xml:space="preserve">אביחי </w:t>
            </w:r>
            <w:proofErr w:type="spellStart"/>
            <w:r w:rsidRPr="00AD2405">
              <w:rPr>
                <w:rFonts w:hint="cs"/>
                <w:sz w:val="24"/>
                <w:szCs w:val="24"/>
                <w:rtl/>
              </w:rPr>
              <w:t>קלרמן</w:t>
            </w:r>
            <w:proofErr w:type="spellEnd"/>
          </w:p>
        </w:tc>
      </w:tr>
      <w:tr w:rsidR="008D68D9" w:rsidRPr="00687FFB" w14:paraId="3E0DBE50" w14:textId="77777777" w:rsidTr="00704A23">
        <w:trPr>
          <w:trHeight w:val="817"/>
        </w:trPr>
        <w:tc>
          <w:tcPr>
            <w:tcW w:w="1776" w:type="pct"/>
            <w:gridSpan w:val="2"/>
          </w:tcPr>
          <w:p w14:paraId="74601998" w14:textId="77777777" w:rsidR="008D68D9" w:rsidRPr="00687FFB" w:rsidRDefault="008D68D9" w:rsidP="00704A23">
            <w:pPr>
              <w:spacing w:line="240" w:lineRule="auto"/>
              <w:jc w:val="both"/>
              <w:rPr>
                <w:rFonts w:ascii="Arial" w:hAnsi="Arial"/>
                <w:b/>
                <w:bCs/>
                <w:noProof/>
                <w:sz w:val="24"/>
                <w:szCs w:val="24"/>
                <w:rtl/>
              </w:rPr>
            </w:pPr>
            <w:r w:rsidRPr="00687FFB">
              <w:rPr>
                <w:rFonts w:ascii="Arial" w:hAnsi="Arial" w:hint="cs"/>
                <w:b/>
                <w:bCs/>
                <w:noProof/>
                <w:sz w:val="24"/>
                <w:szCs w:val="24"/>
                <w:rtl/>
              </w:rPr>
              <w:t>קהל היעד</w:t>
            </w:r>
          </w:p>
        </w:tc>
        <w:tc>
          <w:tcPr>
            <w:tcW w:w="3224" w:type="pct"/>
          </w:tcPr>
          <w:p w14:paraId="25C2D262" w14:textId="77777777" w:rsidR="008D68D9" w:rsidRPr="00AD2405" w:rsidRDefault="001D5E47" w:rsidP="00704A23">
            <w:pPr>
              <w:rPr>
                <w:sz w:val="24"/>
                <w:szCs w:val="24"/>
                <w:rtl/>
              </w:rPr>
            </w:pPr>
            <w:r w:rsidRPr="00AD2405">
              <w:rPr>
                <w:rFonts w:hint="cs"/>
                <w:sz w:val="24"/>
                <w:szCs w:val="24"/>
                <w:rtl/>
              </w:rPr>
              <w:t>כיתות י"ב</w:t>
            </w:r>
          </w:p>
        </w:tc>
      </w:tr>
      <w:tr w:rsidR="008D68D9" w:rsidRPr="00687FFB" w14:paraId="49B54BA0" w14:textId="77777777" w:rsidTr="00704A23">
        <w:trPr>
          <w:trHeight w:val="817"/>
        </w:trPr>
        <w:tc>
          <w:tcPr>
            <w:tcW w:w="1776" w:type="pct"/>
            <w:gridSpan w:val="2"/>
          </w:tcPr>
          <w:p w14:paraId="304ACC32" w14:textId="77777777" w:rsidR="008D68D9" w:rsidRPr="00687FFB" w:rsidRDefault="008D68D9" w:rsidP="00704A23">
            <w:pPr>
              <w:spacing w:line="240" w:lineRule="auto"/>
              <w:rPr>
                <w:rFonts w:ascii="Arial" w:hAnsi="Arial"/>
                <w:b/>
                <w:bCs/>
                <w:sz w:val="24"/>
                <w:szCs w:val="24"/>
              </w:rPr>
            </w:pPr>
            <w:r w:rsidRPr="00687FFB">
              <w:rPr>
                <w:rFonts w:ascii="Arial" w:hAnsi="Arial" w:hint="cs"/>
                <w:b/>
                <w:bCs/>
                <w:noProof/>
                <w:sz w:val="24"/>
                <w:szCs w:val="24"/>
                <w:rtl/>
              </w:rPr>
              <w:t>משך השיעור</w:t>
            </w:r>
          </w:p>
        </w:tc>
        <w:tc>
          <w:tcPr>
            <w:tcW w:w="3224" w:type="pct"/>
          </w:tcPr>
          <w:p w14:paraId="4088586E" w14:textId="77777777" w:rsidR="008D68D9" w:rsidRPr="00AD2405" w:rsidRDefault="001D5E47" w:rsidP="00704A23">
            <w:pPr>
              <w:spacing w:line="240" w:lineRule="auto"/>
              <w:rPr>
                <w:rFonts w:ascii="Arial" w:hAnsi="Arial"/>
                <w:sz w:val="24"/>
                <w:szCs w:val="24"/>
                <w:rtl/>
              </w:rPr>
            </w:pPr>
            <w:r w:rsidRPr="00AD2405">
              <w:rPr>
                <w:rFonts w:ascii="Arial" w:hAnsi="Arial" w:hint="cs"/>
                <w:sz w:val="24"/>
                <w:szCs w:val="24"/>
                <w:rtl/>
              </w:rPr>
              <w:t>שיעור כפול</w:t>
            </w:r>
          </w:p>
        </w:tc>
      </w:tr>
      <w:tr w:rsidR="008D68D9" w:rsidRPr="00687FFB" w14:paraId="080902C8" w14:textId="77777777" w:rsidTr="00704A23">
        <w:trPr>
          <w:trHeight w:val="1508"/>
        </w:trPr>
        <w:tc>
          <w:tcPr>
            <w:tcW w:w="610" w:type="pct"/>
            <w:vMerge w:val="restart"/>
          </w:tcPr>
          <w:p w14:paraId="4B2326E5" w14:textId="77777777" w:rsidR="008D68D9" w:rsidRPr="00687FFB" w:rsidRDefault="008D68D9" w:rsidP="00704A23">
            <w:pPr>
              <w:spacing w:line="240" w:lineRule="auto"/>
              <w:jc w:val="both"/>
              <w:rPr>
                <w:rFonts w:ascii="Arial" w:hAnsi="Arial"/>
                <w:b/>
                <w:bCs/>
                <w:noProof/>
                <w:sz w:val="24"/>
                <w:szCs w:val="24"/>
                <w:rtl/>
              </w:rPr>
            </w:pPr>
          </w:p>
          <w:p w14:paraId="1E97FD01" w14:textId="77777777" w:rsidR="008D68D9" w:rsidRPr="00687FFB" w:rsidRDefault="008D68D9" w:rsidP="00704A23">
            <w:pPr>
              <w:spacing w:line="240" w:lineRule="auto"/>
              <w:jc w:val="both"/>
              <w:rPr>
                <w:rFonts w:ascii="Arial" w:hAnsi="Arial"/>
                <w:b/>
                <w:bCs/>
                <w:noProof/>
                <w:sz w:val="24"/>
                <w:szCs w:val="24"/>
                <w:rtl/>
              </w:rPr>
            </w:pPr>
          </w:p>
          <w:p w14:paraId="47D1D2B9" w14:textId="77777777" w:rsidR="008D68D9" w:rsidRPr="00687FFB" w:rsidRDefault="008D68D9" w:rsidP="00704A23">
            <w:pPr>
              <w:spacing w:line="240" w:lineRule="auto"/>
              <w:jc w:val="both"/>
              <w:rPr>
                <w:rFonts w:ascii="Arial" w:hAnsi="Arial"/>
                <w:b/>
                <w:bCs/>
                <w:noProof/>
                <w:sz w:val="24"/>
                <w:szCs w:val="24"/>
                <w:rtl/>
              </w:rPr>
            </w:pPr>
          </w:p>
          <w:p w14:paraId="578DE85C" w14:textId="77777777" w:rsidR="008D68D9" w:rsidRPr="00687FFB" w:rsidRDefault="008D68D9" w:rsidP="00704A23">
            <w:pPr>
              <w:spacing w:line="240" w:lineRule="auto"/>
              <w:jc w:val="both"/>
              <w:rPr>
                <w:rFonts w:ascii="Arial" w:hAnsi="Arial"/>
                <w:b/>
                <w:bCs/>
                <w:color w:val="808080"/>
                <w:sz w:val="24"/>
                <w:szCs w:val="24"/>
                <w:rtl/>
              </w:rPr>
            </w:pPr>
            <w:r>
              <w:rPr>
                <w:rFonts w:ascii="Arial" w:hAnsi="Arial" w:hint="cs"/>
                <w:b/>
                <w:bCs/>
                <w:noProof/>
                <w:color w:val="808080"/>
                <w:sz w:val="24"/>
                <w:szCs w:val="24"/>
                <w:rtl/>
              </w:rPr>
              <w:t>לימוד מקדים של המקור הנלמד</w:t>
            </w:r>
          </w:p>
        </w:tc>
        <w:tc>
          <w:tcPr>
            <w:tcW w:w="1166" w:type="pct"/>
          </w:tcPr>
          <w:p w14:paraId="7A17F380" w14:textId="77777777" w:rsidR="008D68D9" w:rsidRPr="00687FFB" w:rsidRDefault="008D68D9" w:rsidP="00704A23">
            <w:pPr>
              <w:spacing w:line="240" w:lineRule="auto"/>
              <w:jc w:val="both"/>
              <w:rPr>
                <w:rFonts w:ascii="Arial" w:hAnsi="Arial"/>
                <w:b/>
                <w:bCs/>
                <w:sz w:val="24"/>
                <w:szCs w:val="24"/>
                <w:rtl/>
              </w:rPr>
            </w:pPr>
          </w:p>
          <w:p w14:paraId="03E56CCA" w14:textId="77777777" w:rsidR="008D68D9" w:rsidRPr="00687FFB" w:rsidRDefault="008D68D9" w:rsidP="00704A23">
            <w:pPr>
              <w:spacing w:line="240" w:lineRule="auto"/>
              <w:jc w:val="both"/>
              <w:rPr>
                <w:rFonts w:ascii="Arial" w:hAnsi="Arial"/>
                <w:b/>
                <w:bCs/>
                <w:sz w:val="24"/>
                <w:szCs w:val="24"/>
              </w:rPr>
            </w:pPr>
            <w:r>
              <w:rPr>
                <w:rFonts w:ascii="Arial" w:hAnsi="Arial" w:hint="cs"/>
                <w:b/>
                <w:bCs/>
                <w:sz w:val="24"/>
                <w:szCs w:val="24"/>
                <w:rtl/>
              </w:rPr>
              <w:t>ניסוח הנקודות המרכזיות של המקור.</w:t>
            </w:r>
          </w:p>
        </w:tc>
        <w:tc>
          <w:tcPr>
            <w:tcW w:w="3224" w:type="pct"/>
          </w:tcPr>
          <w:p w14:paraId="138B3B75" w14:textId="77777777" w:rsidR="008D68D9" w:rsidRPr="00AD2405" w:rsidRDefault="001D5E47" w:rsidP="001D5E47">
            <w:pPr>
              <w:numPr>
                <w:ilvl w:val="0"/>
                <w:numId w:val="1"/>
              </w:numPr>
              <w:spacing w:line="360" w:lineRule="auto"/>
              <w:jc w:val="both"/>
              <w:rPr>
                <w:rFonts w:ascii="Arial" w:hAnsi="Arial"/>
                <w:sz w:val="24"/>
                <w:szCs w:val="24"/>
                <w:rtl/>
              </w:rPr>
            </w:pPr>
            <w:r w:rsidRPr="00AD2405">
              <w:rPr>
                <w:rFonts w:ascii="Arial" w:hAnsi="Arial" w:hint="cs"/>
                <w:sz w:val="24"/>
                <w:szCs w:val="24"/>
                <w:rtl/>
              </w:rPr>
              <w:t>הבנת שלוש השבועות.</w:t>
            </w:r>
          </w:p>
          <w:p w14:paraId="5F74A236" w14:textId="77777777" w:rsidR="001D5E47" w:rsidRPr="00AD2405" w:rsidRDefault="001D5E47" w:rsidP="001D5E47">
            <w:pPr>
              <w:numPr>
                <w:ilvl w:val="0"/>
                <w:numId w:val="1"/>
              </w:numPr>
              <w:spacing w:line="360" w:lineRule="auto"/>
              <w:jc w:val="both"/>
              <w:rPr>
                <w:rFonts w:ascii="Arial" w:hAnsi="Arial"/>
                <w:sz w:val="24"/>
                <w:szCs w:val="24"/>
                <w:rtl/>
              </w:rPr>
            </w:pPr>
            <w:r w:rsidRPr="00AD2405">
              <w:rPr>
                <w:rFonts w:ascii="Arial" w:hAnsi="Arial" w:hint="cs"/>
                <w:sz w:val="24"/>
                <w:szCs w:val="24"/>
                <w:rtl/>
              </w:rPr>
              <w:t xml:space="preserve">הרקע שלהן בשיר השירים </w:t>
            </w:r>
            <w:r w:rsidRPr="00AD2405">
              <w:rPr>
                <w:rFonts w:ascii="Arial" w:hAnsi="Arial"/>
                <w:sz w:val="24"/>
                <w:szCs w:val="24"/>
                <w:rtl/>
              </w:rPr>
              <w:t>–</w:t>
            </w:r>
            <w:r w:rsidRPr="00AD2405">
              <w:rPr>
                <w:rFonts w:ascii="Arial" w:hAnsi="Arial" w:hint="cs"/>
                <w:sz w:val="24"/>
                <w:szCs w:val="24"/>
                <w:rtl/>
              </w:rPr>
              <w:t xml:space="preserve"> ההקשר המקראי וההקשר המדרשי</w:t>
            </w:r>
          </w:p>
          <w:p w14:paraId="187FDFFD" w14:textId="77777777" w:rsidR="001D5E47" w:rsidRPr="00AD2405" w:rsidRDefault="001D5E47" w:rsidP="001D5E47">
            <w:pPr>
              <w:numPr>
                <w:ilvl w:val="0"/>
                <w:numId w:val="1"/>
              </w:numPr>
              <w:spacing w:line="360" w:lineRule="auto"/>
              <w:jc w:val="both"/>
              <w:rPr>
                <w:rFonts w:ascii="Arial" w:hAnsi="Arial"/>
                <w:sz w:val="24"/>
                <w:szCs w:val="24"/>
                <w:rtl/>
              </w:rPr>
            </w:pPr>
            <w:r w:rsidRPr="00AD2405">
              <w:rPr>
                <w:rFonts w:ascii="Arial" w:hAnsi="Arial" w:hint="cs"/>
                <w:sz w:val="24"/>
                <w:szCs w:val="24"/>
                <w:rtl/>
              </w:rPr>
              <w:t>ההתייחסות של נטורי קרתא, אגודת ישראל, חב"ד והציונות הדתית לדברים הנגזרים מדברי חז"ל</w:t>
            </w:r>
          </w:p>
          <w:p w14:paraId="7CC0B5BD" w14:textId="77777777" w:rsidR="001D5E47" w:rsidRPr="00AD2405" w:rsidRDefault="001D5E47" w:rsidP="001D5E47">
            <w:pPr>
              <w:numPr>
                <w:ilvl w:val="0"/>
                <w:numId w:val="1"/>
              </w:numPr>
              <w:spacing w:line="360" w:lineRule="auto"/>
              <w:jc w:val="both"/>
              <w:rPr>
                <w:rFonts w:ascii="Arial" w:hAnsi="Arial"/>
                <w:sz w:val="24"/>
                <w:szCs w:val="24"/>
                <w:rtl/>
              </w:rPr>
            </w:pPr>
            <w:r w:rsidRPr="00AD2405">
              <w:rPr>
                <w:rFonts w:ascii="Arial" w:hAnsi="Arial" w:hint="cs"/>
                <w:sz w:val="24"/>
                <w:szCs w:val="24"/>
                <w:rtl/>
              </w:rPr>
              <w:t>העימות הנוצר מההבנות השונות של תפקיד ומהות השבועות</w:t>
            </w:r>
          </w:p>
        </w:tc>
      </w:tr>
      <w:tr w:rsidR="008D68D9" w:rsidRPr="00687FFB" w14:paraId="211CE54E" w14:textId="77777777" w:rsidTr="00704A23">
        <w:trPr>
          <w:trHeight w:val="1085"/>
        </w:trPr>
        <w:tc>
          <w:tcPr>
            <w:tcW w:w="610" w:type="pct"/>
            <w:vMerge/>
          </w:tcPr>
          <w:p w14:paraId="5CBC7484" w14:textId="77777777" w:rsidR="008D68D9" w:rsidRPr="00687FFB" w:rsidRDefault="008D68D9" w:rsidP="00704A23">
            <w:pPr>
              <w:spacing w:line="240" w:lineRule="auto"/>
              <w:jc w:val="both"/>
              <w:rPr>
                <w:rFonts w:ascii="Arial" w:hAnsi="Arial"/>
                <w:b/>
                <w:bCs/>
                <w:noProof/>
                <w:sz w:val="24"/>
                <w:szCs w:val="24"/>
                <w:rtl/>
              </w:rPr>
            </w:pPr>
          </w:p>
        </w:tc>
        <w:tc>
          <w:tcPr>
            <w:tcW w:w="1166" w:type="pct"/>
          </w:tcPr>
          <w:p w14:paraId="44CEDF31" w14:textId="77777777" w:rsidR="008D68D9" w:rsidRDefault="008D68D9" w:rsidP="00704A23">
            <w:pPr>
              <w:spacing w:line="240" w:lineRule="auto"/>
              <w:rPr>
                <w:rFonts w:ascii="Arial" w:hAnsi="Arial"/>
                <w:b/>
                <w:bCs/>
                <w:sz w:val="24"/>
                <w:szCs w:val="24"/>
                <w:rtl/>
              </w:rPr>
            </w:pPr>
          </w:p>
          <w:p w14:paraId="4F554293" w14:textId="77777777" w:rsidR="008D68D9" w:rsidRPr="00687FFB" w:rsidRDefault="008D68D9" w:rsidP="008D68D9">
            <w:pPr>
              <w:spacing w:line="240" w:lineRule="auto"/>
              <w:rPr>
                <w:rFonts w:ascii="Arial" w:hAnsi="Arial"/>
                <w:b/>
                <w:bCs/>
                <w:color w:val="FF0000"/>
                <w:sz w:val="24"/>
                <w:szCs w:val="24"/>
                <w:rtl/>
              </w:rPr>
            </w:pPr>
            <w:r>
              <w:rPr>
                <w:rFonts w:ascii="Arial" w:hAnsi="Arial" w:hint="cs"/>
                <w:b/>
                <w:bCs/>
                <w:sz w:val="24"/>
                <w:szCs w:val="24"/>
                <w:rtl/>
              </w:rPr>
              <w:t>ניסוח החידוש של המקור</w:t>
            </w:r>
          </w:p>
        </w:tc>
        <w:tc>
          <w:tcPr>
            <w:tcW w:w="3224" w:type="pct"/>
          </w:tcPr>
          <w:p w14:paraId="14E7F133" w14:textId="77777777" w:rsidR="008D68D9" w:rsidRPr="00AD2405" w:rsidRDefault="001D5E47" w:rsidP="00704A23">
            <w:pPr>
              <w:spacing w:line="240" w:lineRule="auto"/>
              <w:jc w:val="both"/>
              <w:rPr>
                <w:rFonts w:ascii="Arial" w:hAnsi="Arial"/>
                <w:sz w:val="24"/>
                <w:szCs w:val="24"/>
              </w:rPr>
            </w:pPr>
            <w:r w:rsidRPr="00AD2405">
              <w:rPr>
                <w:rFonts w:ascii="Arial" w:hAnsi="Arial" w:hint="cs"/>
                <w:sz w:val="24"/>
                <w:szCs w:val="24"/>
                <w:rtl/>
              </w:rPr>
              <w:t>הניסיון להתחקות אחרי הבסיס התורני והערכי של הציבור החרדי המתבדל מהמדינה ומהעשייה הציונית בעיקר זו הקשורה לצבא ולשירות הלאומי, מעבר למבוטא על ידי התקשורת.</w:t>
            </w:r>
          </w:p>
        </w:tc>
      </w:tr>
      <w:tr w:rsidR="008D68D9" w:rsidRPr="00687FFB" w14:paraId="16DA862B" w14:textId="77777777" w:rsidTr="00704A23">
        <w:trPr>
          <w:trHeight w:val="1692"/>
        </w:trPr>
        <w:tc>
          <w:tcPr>
            <w:tcW w:w="610" w:type="pct"/>
            <w:vMerge/>
          </w:tcPr>
          <w:p w14:paraId="6C95A884" w14:textId="77777777" w:rsidR="008D68D9" w:rsidRPr="00687FFB" w:rsidRDefault="008D68D9" w:rsidP="00704A23">
            <w:pPr>
              <w:spacing w:line="240" w:lineRule="auto"/>
              <w:jc w:val="both"/>
              <w:rPr>
                <w:rFonts w:ascii="Arial" w:hAnsi="Arial"/>
                <w:b/>
                <w:bCs/>
                <w:noProof/>
                <w:sz w:val="24"/>
                <w:szCs w:val="24"/>
                <w:rtl/>
              </w:rPr>
            </w:pPr>
          </w:p>
        </w:tc>
        <w:tc>
          <w:tcPr>
            <w:tcW w:w="1166" w:type="pct"/>
          </w:tcPr>
          <w:p w14:paraId="446EBF39" w14:textId="77777777" w:rsidR="008D68D9" w:rsidRPr="00687FFB" w:rsidRDefault="008D68D9" w:rsidP="00704A23">
            <w:pPr>
              <w:spacing w:line="240" w:lineRule="auto"/>
              <w:rPr>
                <w:rFonts w:ascii="Arial" w:hAnsi="Arial"/>
                <w:b/>
                <w:bCs/>
                <w:noProof/>
                <w:sz w:val="24"/>
                <w:szCs w:val="24"/>
                <w:rtl/>
              </w:rPr>
            </w:pPr>
          </w:p>
          <w:p w14:paraId="67AABD81" w14:textId="77777777" w:rsidR="008D68D9" w:rsidRPr="00687FFB" w:rsidRDefault="008D68D9" w:rsidP="00704A23">
            <w:pPr>
              <w:spacing w:line="240" w:lineRule="auto"/>
              <w:rPr>
                <w:rFonts w:ascii="Arial" w:hAnsi="Arial"/>
                <w:b/>
                <w:bCs/>
                <w:noProof/>
                <w:sz w:val="24"/>
                <w:szCs w:val="24"/>
                <w:rtl/>
              </w:rPr>
            </w:pPr>
          </w:p>
          <w:p w14:paraId="1C34E8DD" w14:textId="77777777" w:rsidR="008D68D9" w:rsidRPr="00687FFB" w:rsidRDefault="008D68D9" w:rsidP="00704A23">
            <w:pPr>
              <w:spacing w:line="240" w:lineRule="auto"/>
              <w:rPr>
                <w:rFonts w:ascii="Arial" w:hAnsi="Arial"/>
                <w:b/>
                <w:bCs/>
                <w:noProof/>
                <w:sz w:val="24"/>
                <w:szCs w:val="24"/>
                <w:rtl/>
              </w:rPr>
            </w:pPr>
            <w:r>
              <w:rPr>
                <w:rFonts w:ascii="Arial" w:hAnsi="Arial" w:hint="cs"/>
                <w:b/>
                <w:bCs/>
                <w:noProof/>
                <w:sz w:val="24"/>
                <w:szCs w:val="24"/>
                <w:rtl/>
              </w:rPr>
              <w:t>ניסוח הנקודות הרלוונטיות שבמקור לעולמם של התלמידים</w:t>
            </w:r>
          </w:p>
        </w:tc>
        <w:tc>
          <w:tcPr>
            <w:tcW w:w="3224" w:type="pct"/>
          </w:tcPr>
          <w:p w14:paraId="34D62873" w14:textId="77777777" w:rsidR="008D68D9" w:rsidRPr="00AD2405" w:rsidRDefault="001D5E47" w:rsidP="001D5E47">
            <w:pPr>
              <w:spacing w:line="240" w:lineRule="auto"/>
              <w:jc w:val="both"/>
              <w:rPr>
                <w:rFonts w:ascii="Arial" w:hAnsi="Arial"/>
                <w:sz w:val="24"/>
                <w:szCs w:val="24"/>
              </w:rPr>
            </w:pPr>
            <w:r w:rsidRPr="00AD2405">
              <w:rPr>
                <w:rFonts w:ascii="Arial" w:hAnsi="Arial" w:hint="cs"/>
                <w:sz w:val="24"/>
                <w:szCs w:val="24"/>
                <w:rtl/>
              </w:rPr>
              <w:t>שיבת עם ישראל לארצו, לאחר אלפי שנות גלות, והקמת המדינה מעניקים לתקופתה ולמדינה את הכותרת: "ראשית צמיחת גאולתנו". לא קיימת תמימות דעים בין גדולי ישראל בראיית מדינת ישראל כשלב בגאולה. יש הרואים בהקמת המדינה "מעשה שטן" ומתנגדים לכל מהלך אקטיבי שתכליתו קירוב הגאולה באמצעות פעולות אנושיות. אחד המקורות העיקריים להתנגדות זו הם דברי חז"ל במסכת כתובות העוסקים בעניין "שלוש השבועות</w:t>
            </w:r>
            <w:r w:rsidRPr="00AD2405">
              <w:rPr>
                <w:rFonts w:ascii="Arial" w:hAnsi="Arial" w:hint="cs"/>
                <w:sz w:val="24"/>
                <w:szCs w:val="24"/>
              </w:rPr>
              <w:t>":</w:t>
            </w:r>
          </w:p>
        </w:tc>
      </w:tr>
      <w:tr w:rsidR="008D68D9" w:rsidRPr="00687FFB" w14:paraId="26480BDD" w14:textId="77777777" w:rsidTr="00704A23">
        <w:trPr>
          <w:trHeight w:val="1736"/>
        </w:trPr>
        <w:tc>
          <w:tcPr>
            <w:tcW w:w="610" w:type="pct"/>
            <w:vMerge w:val="restart"/>
          </w:tcPr>
          <w:p w14:paraId="5859D08C" w14:textId="77777777" w:rsidR="008D68D9" w:rsidRPr="00687FFB" w:rsidRDefault="008D68D9" w:rsidP="00704A23">
            <w:pPr>
              <w:spacing w:line="240" w:lineRule="auto"/>
              <w:jc w:val="both"/>
              <w:rPr>
                <w:rFonts w:ascii="Arial" w:hAnsi="Arial"/>
                <w:b/>
                <w:bCs/>
                <w:noProof/>
                <w:color w:val="808080"/>
                <w:sz w:val="24"/>
                <w:szCs w:val="24"/>
                <w:rtl/>
              </w:rPr>
            </w:pPr>
          </w:p>
          <w:p w14:paraId="08A27C28" w14:textId="77777777" w:rsidR="008D68D9" w:rsidRPr="00687FFB" w:rsidRDefault="008D68D9" w:rsidP="00704A23">
            <w:pPr>
              <w:spacing w:line="240" w:lineRule="auto"/>
              <w:jc w:val="both"/>
              <w:rPr>
                <w:rFonts w:ascii="Arial" w:hAnsi="Arial"/>
                <w:b/>
                <w:bCs/>
                <w:noProof/>
                <w:color w:val="808080"/>
                <w:sz w:val="24"/>
                <w:szCs w:val="24"/>
                <w:rtl/>
              </w:rPr>
            </w:pPr>
          </w:p>
          <w:p w14:paraId="5C81B038" w14:textId="77777777" w:rsidR="008D68D9" w:rsidRPr="00687FFB" w:rsidRDefault="008D68D9" w:rsidP="00704A23">
            <w:pPr>
              <w:spacing w:line="240" w:lineRule="auto"/>
              <w:jc w:val="both"/>
              <w:rPr>
                <w:rFonts w:ascii="Arial" w:hAnsi="Arial"/>
                <w:b/>
                <w:bCs/>
                <w:noProof/>
                <w:sz w:val="24"/>
                <w:szCs w:val="24"/>
                <w:rtl/>
              </w:rPr>
            </w:pPr>
            <w:r>
              <w:rPr>
                <w:rFonts w:ascii="Arial" w:hAnsi="Arial" w:hint="cs"/>
                <w:b/>
                <w:bCs/>
                <w:noProof/>
                <w:color w:val="808080"/>
                <w:sz w:val="24"/>
                <w:szCs w:val="24"/>
                <w:rtl/>
              </w:rPr>
              <w:t>עזרים</w:t>
            </w:r>
          </w:p>
        </w:tc>
        <w:tc>
          <w:tcPr>
            <w:tcW w:w="1166" w:type="pct"/>
          </w:tcPr>
          <w:p w14:paraId="76523C31" w14:textId="77777777" w:rsidR="008D68D9" w:rsidRPr="00687FFB" w:rsidRDefault="008D68D9" w:rsidP="00704A23">
            <w:pPr>
              <w:spacing w:line="240" w:lineRule="auto"/>
              <w:rPr>
                <w:rFonts w:ascii="Arial" w:hAnsi="Arial"/>
                <w:b/>
                <w:bCs/>
                <w:noProof/>
                <w:sz w:val="24"/>
                <w:szCs w:val="24"/>
                <w:rtl/>
              </w:rPr>
            </w:pPr>
          </w:p>
          <w:p w14:paraId="4BDC1A90" w14:textId="77777777" w:rsidR="008D68D9" w:rsidRPr="00687FFB" w:rsidRDefault="008D68D9" w:rsidP="00704A23">
            <w:pPr>
              <w:spacing w:line="240" w:lineRule="auto"/>
              <w:rPr>
                <w:rFonts w:ascii="Arial" w:hAnsi="Arial"/>
                <w:b/>
                <w:bCs/>
                <w:noProof/>
                <w:sz w:val="24"/>
                <w:szCs w:val="24"/>
                <w:rtl/>
              </w:rPr>
            </w:pPr>
          </w:p>
          <w:p w14:paraId="55F3DC67" w14:textId="77777777" w:rsidR="008D68D9" w:rsidRPr="00687FFB" w:rsidRDefault="008D68D9" w:rsidP="00704A23">
            <w:pPr>
              <w:spacing w:line="240" w:lineRule="auto"/>
              <w:rPr>
                <w:rFonts w:ascii="Arial" w:hAnsi="Arial" w:hint="cs"/>
                <w:b/>
                <w:bCs/>
                <w:sz w:val="24"/>
                <w:szCs w:val="24"/>
                <w:rtl/>
              </w:rPr>
            </w:pPr>
            <w:r w:rsidRPr="008D68D9">
              <w:rPr>
                <w:rFonts w:ascii="Arial" w:hAnsi="Arial" w:hint="cs"/>
                <w:b/>
                <w:bCs/>
                <w:sz w:val="24"/>
                <w:szCs w:val="24"/>
                <w:rtl/>
              </w:rPr>
              <w:t>תיאור עזרים דידקטיים (מתודה/ סיפור/ סרט וכד')</w:t>
            </w:r>
          </w:p>
        </w:tc>
        <w:tc>
          <w:tcPr>
            <w:tcW w:w="3224" w:type="pct"/>
          </w:tcPr>
          <w:p w14:paraId="075B504F" w14:textId="77777777" w:rsidR="001D5E47" w:rsidRPr="00AD2405" w:rsidRDefault="001D5E47" w:rsidP="001D5E47">
            <w:pPr>
              <w:spacing w:before="100" w:beforeAutospacing="1" w:line="360" w:lineRule="auto"/>
              <w:rPr>
                <w:sz w:val="24"/>
                <w:szCs w:val="24"/>
              </w:rPr>
            </w:pPr>
            <w:proofErr w:type="spellStart"/>
            <w:r w:rsidRPr="00AD2405">
              <w:rPr>
                <w:rFonts w:hint="cs"/>
                <w:sz w:val="24"/>
                <w:szCs w:val="24"/>
                <w:rtl/>
              </w:rPr>
              <w:t>גיוואלד</w:t>
            </w:r>
            <w:proofErr w:type="spellEnd"/>
          </w:p>
          <w:p w14:paraId="5524A7F6" w14:textId="77777777" w:rsidR="001D5E47" w:rsidRPr="00AD2405" w:rsidRDefault="001D5E47" w:rsidP="001D5E47">
            <w:pPr>
              <w:spacing w:before="100" w:beforeAutospacing="1" w:line="360" w:lineRule="auto"/>
              <w:rPr>
                <w:sz w:val="24"/>
                <w:szCs w:val="24"/>
                <w:rtl/>
              </w:rPr>
            </w:pPr>
            <w:r w:rsidRPr="00AD2405">
              <w:rPr>
                <w:rFonts w:hint="cs"/>
                <w:sz w:val="24"/>
                <w:szCs w:val="24"/>
                <w:rtl/>
              </w:rPr>
              <w:t>קטע מתוך סרט תיעודי, המציג שני זרמים בציבור החרדי ביחסם לציונות: מאבקם של 'נטורי קרתא' כנגד המדינה, ועמדתו המורכבת של הרב רביץ ז"ל, שהיה חבר במחתרת ולאחר מכן הנהיג את 'אגודת ישראל' בכנסת.</w:t>
            </w:r>
          </w:p>
          <w:p w14:paraId="6093EF16" w14:textId="77777777" w:rsidR="008D68D9" w:rsidRPr="00AD2405" w:rsidRDefault="008D68D9" w:rsidP="00466831">
            <w:pPr>
              <w:bidi w:val="0"/>
              <w:spacing w:before="100" w:beforeAutospacing="1"/>
              <w:jc w:val="right"/>
              <w:rPr>
                <w:rFonts w:ascii="Arial" w:hAnsi="Arial"/>
                <w:sz w:val="24"/>
                <w:szCs w:val="24"/>
                <w:rtl/>
              </w:rPr>
            </w:pPr>
          </w:p>
        </w:tc>
      </w:tr>
      <w:tr w:rsidR="008D68D9" w:rsidRPr="00687FFB" w14:paraId="34AEE459" w14:textId="77777777" w:rsidTr="00704A23">
        <w:trPr>
          <w:trHeight w:val="1919"/>
        </w:trPr>
        <w:tc>
          <w:tcPr>
            <w:tcW w:w="610" w:type="pct"/>
            <w:vMerge/>
          </w:tcPr>
          <w:p w14:paraId="34FBF434" w14:textId="77777777" w:rsidR="008D68D9" w:rsidRPr="00687FFB" w:rsidRDefault="008D68D9" w:rsidP="00704A23">
            <w:pPr>
              <w:spacing w:line="240" w:lineRule="auto"/>
              <w:jc w:val="both"/>
              <w:rPr>
                <w:rFonts w:ascii="Arial" w:hAnsi="Arial"/>
                <w:b/>
                <w:bCs/>
                <w:noProof/>
                <w:sz w:val="24"/>
                <w:szCs w:val="24"/>
                <w:rtl/>
              </w:rPr>
            </w:pPr>
          </w:p>
        </w:tc>
        <w:tc>
          <w:tcPr>
            <w:tcW w:w="1166" w:type="pct"/>
          </w:tcPr>
          <w:p w14:paraId="40D43D57" w14:textId="77777777" w:rsidR="008D68D9" w:rsidRPr="00687FFB" w:rsidRDefault="008D68D9" w:rsidP="00704A23">
            <w:pPr>
              <w:spacing w:line="240" w:lineRule="auto"/>
              <w:jc w:val="both"/>
              <w:rPr>
                <w:rFonts w:ascii="Arial" w:hAnsi="Arial"/>
                <w:b/>
                <w:bCs/>
                <w:sz w:val="24"/>
                <w:szCs w:val="24"/>
                <w:rtl/>
              </w:rPr>
            </w:pPr>
          </w:p>
          <w:p w14:paraId="29421344" w14:textId="77777777" w:rsidR="008D68D9" w:rsidRPr="00687FFB" w:rsidRDefault="008D68D9" w:rsidP="00704A23">
            <w:pPr>
              <w:spacing w:line="240" w:lineRule="auto"/>
              <w:jc w:val="both"/>
              <w:rPr>
                <w:rFonts w:ascii="Arial" w:hAnsi="Arial"/>
                <w:b/>
                <w:bCs/>
                <w:sz w:val="24"/>
                <w:szCs w:val="24"/>
                <w:rtl/>
              </w:rPr>
            </w:pPr>
            <w:r>
              <w:rPr>
                <w:rFonts w:ascii="Arial" w:hAnsi="Arial" w:hint="cs"/>
                <w:b/>
                <w:bCs/>
                <w:sz w:val="24"/>
                <w:szCs w:val="24"/>
                <w:rtl/>
              </w:rPr>
              <w:t>כיצד העזרים הדידקטיים מסייעים לקישור בין הנקודות הרלוונטיות שבמקור לעולמו של התלמיד?</w:t>
            </w:r>
          </w:p>
          <w:p w14:paraId="66E9D751" w14:textId="77777777" w:rsidR="008D68D9" w:rsidRPr="00687FFB" w:rsidRDefault="008D68D9" w:rsidP="00704A23">
            <w:pPr>
              <w:spacing w:line="240" w:lineRule="auto"/>
              <w:jc w:val="both"/>
              <w:rPr>
                <w:rFonts w:ascii="Arial" w:hAnsi="Arial"/>
                <w:b/>
                <w:bCs/>
                <w:sz w:val="24"/>
                <w:szCs w:val="24"/>
              </w:rPr>
            </w:pPr>
          </w:p>
        </w:tc>
        <w:tc>
          <w:tcPr>
            <w:tcW w:w="3224" w:type="pct"/>
          </w:tcPr>
          <w:p w14:paraId="33F6206F" w14:textId="77777777" w:rsidR="008D68D9" w:rsidRPr="00AD2405" w:rsidRDefault="001D5E47" w:rsidP="00704A23">
            <w:pPr>
              <w:spacing w:line="240" w:lineRule="auto"/>
              <w:jc w:val="both"/>
              <w:rPr>
                <w:rFonts w:ascii="Arial" w:hAnsi="Arial"/>
                <w:sz w:val="24"/>
                <w:szCs w:val="24"/>
                <w:rtl/>
              </w:rPr>
            </w:pPr>
            <w:r w:rsidRPr="00AD2405">
              <w:rPr>
                <w:rFonts w:ascii="Arial" w:hAnsi="Arial" w:hint="cs"/>
                <w:sz w:val="24"/>
                <w:szCs w:val="24"/>
                <w:rtl/>
              </w:rPr>
              <w:t xml:space="preserve">דיון כיתתי המנסה למצוא את נקודות החיוביות והמשמעותיות בהשקפת העולם הדוגלת בגאולה הרוחנית </w:t>
            </w:r>
            <w:r w:rsidRPr="00AD2405">
              <w:rPr>
                <w:rFonts w:ascii="Arial" w:hAnsi="Arial"/>
                <w:sz w:val="24"/>
                <w:szCs w:val="24"/>
                <w:rtl/>
              </w:rPr>
              <w:t>–</w:t>
            </w:r>
            <w:r w:rsidRPr="00AD2405">
              <w:rPr>
                <w:rFonts w:ascii="Arial" w:hAnsi="Arial" w:hint="cs"/>
                <w:sz w:val="24"/>
                <w:szCs w:val="24"/>
                <w:rtl/>
              </w:rPr>
              <w:t xml:space="preserve"> ניסית.</w:t>
            </w:r>
          </w:p>
          <w:p w14:paraId="04470C48" w14:textId="77777777" w:rsidR="001D5E47" w:rsidRPr="00AD2405" w:rsidRDefault="001D5E47" w:rsidP="00704A23">
            <w:pPr>
              <w:spacing w:line="240" w:lineRule="auto"/>
              <w:jc w:val="both"/>
              <w:rPr>
                <w:rFonts w:ascii="Arial" w:hAnsi="Arial"/>
                <w:sz w:val="24"/>
                <w:szCs w:val="24"/>
              </w:rPr>
            </w:pPr>
            <w:r w:rsidRPr="00AD2405">
              <w:rPr>
                <w:rFonts w:ascii="Arial" w:hAnsi="Arial" w:hint="cs"/>
                <w:sz w:val="24"/>
                <w:szCs w:val="24"/>
                <w:rtl/>
              </w:rPr>
              <w:t>האם יש צדק בדחיית שירות צבאי / באי שירות צבאי או שיש כן "פסיחה על שני הסעיפים", בבחינת מי שחי במדינה ממילא צריך להיות מזוהה עימה?</w:t>
            </w:r>
          </w:p>
        </w:tc>
      </w:tr>
      <w:tr w:rsidR="008D68D9" w:rsidRPr="00687FFB" w14:paraId="017987C5" w14:textId="77777777" w:rsidTr="008D68D9">
        <w:trPr>
          <w:trHeight w:val="1274"/>
        </w:trPr>
        <w:tc>
          <w:tcPr>
            <w:tcW w:w="1776" w:type="pct"/>
            <w:gridSpan w:val="2"/>
          </w:tcPr>
          <w:p w14:paraId="347AFB08" w14:textId="77777777" w:rsidR="008D68D9" w:rsidRDefault="008D68D9" w:rsidP="00704A23">
            <w:pPr>
              <w:spacing w:line="240" w:lineRule="auto"/>
              <w:rPr>
                <w:rFonts w:ascii="Arial" w:hAnsi="Arial"/>
                <w:b/>
                <w:bCs/>
                <w:noProof/>
                <w:sz w:val="24"/>
                <w:szCs w:val="24"/>
                <w:rtl/>
              </w:rPr>
            </w:pPr>
          </w:p>
          <w:p w14:paraId="6CFD2D6E" w14:textId="77777777" w:rsidR="008D68D9" w:rsidRPr="00687FFB" w:rsidRDefault="008D68D9" w:rsidP="00704A23">
            <w:pPr>
              <w:spacing w:line="240" w:lineRule="auto"/>
              <w:rPr>
                <w:rFonts w:ascii="Arial" w:hAnsi="Arial"/>
                <w:b/>
                <w:bCs/>
                <w:noProof/>
                <w:sz w:val="24"/>
                <w:szCs w:val="24"/>
                <w:rtl/>
              </w:rPr>
            </w:pPr>
            <w:r>
              <w:rPr>
                <w:rFonts w:ascii="Arial" w:hAnsi="Arial" w:hint="cs"/>
                <w:b/>
                <w:bCs/>
                <w:noProof/>
                <w:sz w:val="24"/>
                <w:szCs w:val="24"/>
                <w:rtl/>
              </w:rPr>
              <w:t>נקודות לדיון במהלך השיעור</w:t>
            </w:r>
          </w:p>
        </w:tc>
        <w:tc>
          <w:tcPr>
            <w:tcW w:w="3224" w:type="pct"/>
          </w:tcPr>
          <w:p w14:paraId="47C4D8C2" w14:textId="77777777" w:rsidR="00AD2405" w:rsidRPr="00AD2405" w:rsidRDefault="00AD2405" w:rsidP="00AD2405">
            <w:pPr>
              <w:numPr>
                <w:ilvl w:val="0"/>
                <w:numId w:val="2"/>
              </w:numPr>
              <w:jc w:val="both"/>
              <w:rPr>
                <w:sz w:val="24"/>
                <w:szCs w:val="24"/>
                <w:rtl/>
              </w:rPr>
            </w:pPr>
            <w:r w:rsidRPr="00AD2405">
              <w:rPr>
                <w:rFonts w:hint="cs"/>
                <w:sz w:val="24"/>
                <w:szCs w:val="24"/>
                <w:rtl/>
              </w:rPr>
              <w:t>מדוע ה' השביע את שלוש השבועות?</w:t>
            </w:r>
          </w:p>
          <w:p w14:paraId="65BC77CC" w14:textId="77777777" w:rsidR="00AD2405" w:rsidRPr="00AD2405" w:rsidRDefault="00AD2405" w:rsidP="00AD2405">
            <w:pPr>
              <w:numPr>
                <w:ilvl w:val="0"/>
                <w:numId w:val="2"/>
              </w:numPr>
              <w:jc w:val="both"/>
              <w:rPr>
                <w:sz w:val="24"/>
                <w:szCs w:val="24"/>
                <w:rtl/>
              </w:rPr>
            </w:pPr>
            <w:r w:rsidRPr="00AD2405">
              <w:rPr>
                <w:rFonts w:hint="cs"/>
                <w:sz w:val="24"/>
                <w:szCs w:val="24"/>
                <w:rtl/>
              </w:rPr>
              <w:t xml:space="preserve">באיזו גישה לגאולה תומכות השבועות הללו </w:t>
            </w:r>
            <w:r w:rsidRPr="00AD2405">
              <w:rPr>
                <w:sz w:val="24"/>
                <w:szCs w:val="24"/>
                <w:rtl/>
              </w:rPr>
              <w:t>–</w:t>
            </w:r>
            <w:r w:rsidRPr="00AD2405">
              <w:rPr>
                <w:rFonts w:hint="cs"/>
                <w:sz w:val="24"/>
                <w:szCs w:val="24"/>
                <w:rtl/>
              </w:rPr>
              <w:t xml:space="preserve"> הרוחנית או המעשית?</w:t>
            </w:r>
          </w:p>
          <w:p w14:paraId="0A4CA77A" w14:textId="77777777" w:rsidR="00AD2405" w:rsidRPr="00AD2405" w:rsidRDefault="00AD2405" w:rsidP="00AD2405">
            <w:pPr>
              <w:numPr>
                <w:ilvl w:val="0"/>
                <w:numId w:val="2"/>
              </w:numPr>
              <w:jc w:val="both"/>
              <w:rPr>
                <w:sz w:val="24"/>
                <w:szCs w:val="24"/>
                <w:rtl/>
              </w:rPr>
            </w:pPr>
            <w:r w:rsidRPr="00AD2405">
              <w:rPr>
                <w:rFonts w:hint="cs"/>
                <w:sz w:val="24"/>
                <w:szCs w:val="24"/>
                <w:rtl/>
              </w:rPr>
              <w:t>האם יש לציונות הדתית תשובות לגישה בתומכת בשלוש השבועות? (4 תשובות).</w:t>
            </w:r>
          </w:p>
          <w:p w14:paraId="39C1A90B" w14:textId="77777777" w:rsidR="00AD2405" w:rsidRPr="00AD2405" w:rsidRDefault="00AD2405" w:rsidP="00AD2405">
            <w:pPr>
              <w:numPr>
                <w:ilvl w:val="0"/>
                <w:numId w:val="2"/>
              </w:numPr>
              <w:jc w:val="both"/>
              <w:rPr>
                <w:sz w:val="24"/>
                <w:szCs w:val="24"/>
              </w:rPr>
            </w:pPr>
            <w:r w:rsidRPr="00AD2405">
              <w:rPr>
                <w:rFonts w:hint="cs"/>
                <w:sz w:val="24"/>
                <w:szCs w:val="24"/>
                <w:rtl/>
              </w:rPr>
              <w:t>האם המדינה היא ראשית צמיחת גאולתנו?</w:t>
            </w:r>
          </w:p>
          <w:p w14:paraId="557EEDE7" w14:textId="77777777" w:rsidR="008D68D9" w:rsidRPr="00AD2405" w:rsidRDefault="008D68D9" w:rsidP="00704A23">
            <w:pPr>
              <w:rPr>
                <w:rFonts w:ascii="Arial" w:hAnsi="Arial"/>
                <w:sz w:val="24"/>
                <w:szCs w:val="24"/>
              </w:rPr>
            </w:pPr>
          </w:p>
        </w:tc>
      </w:tr>
      <w:tr w:rsidR="008D68D9" w:rsidRPr="00687FFB" w14:paraId="5659221D" w14:textId="77777777" w:rsidTr="008D68D9">
        <w:trPr>
          <w:trHeight w:val="1274"/>
        </w:trPr>
        <w:tc>
          <w:tcPr>
            <w:tcW w:w="1776" w:type="pct"/>
            <w:gridSpan w:val="2"/>
          </w:tcPr>
          <w:p w14:paraId="2E5A43AB" w14:textId="77777777" w:rsidR="008D68D9" w:rsidRDefault="008D68D9" w:rsidP="00704A23">
            <w:pPr>
              <w:spacing w:line="240" w:lineRule="auto"/>
              <w:rPr>
                <w:rFonts w:ascii="Arial" w:hAnsi="Arial"/>
                <w:b/>
                <w:bCs/>
                <w:noProof/>
                <w:sz w:val="24"/>
                <w:szCs w:val="24"/>
                <w:rtl/>
              </w:rPr>
            </w:pPr>
          </w:p>
          <w:p w14:paraId="57E2CC51" w14:textId="77777777" w:rsidR="008D68D9" w:rsidRDefault="008D68D9" w:rsidP="00704A23">
            <w:pPr>
              <w:spacing w:line="240" w:lineRule="auto"/>
              <w:rPr>
                <w:rFonts w:ascii="Arial" w:hAnsi="Arial"/>
                <w:b/>
                <w:bCs/>
                <w:noProof/>
                <w:sz w:val="24"/>
                <w:szCs w:val="24"/>
                <w:rtl/>
              </w:rPr>
            </w:pPr>
            <w:r>
              <w:rPr>
                <w:rFonts w:ascii="Arial" w:hAnsi="Arial" w:hint="cs"/>
                <w:b/>
                <w:bCs/>
                <w:noProof/>
                <w:sz w:val="24"/>
                <w:szCs w:val="24"/>
                <w:rtl/>
              </w:rPr>
              <w:t xml:space="preserve">שאלת </w:t>
            </w:r>
            <w:r w:rsidRPr="008D68D9">
              <w:rPr>
                <w:rFonts w:ascii="Arial" w:hAnsi="Arial" w:hint="cs"/>
                <w:b/>
                <w:bCs/>
                <w:noProof/>
                <w:sz w:val="24"/>
                <w:szCs w:val="24"/>
                <w:u w:val="single"/>
                <w:rtl/>
              </w:rPr>
              <w:t>ה</w:t>
            </w:r>
            <w:r w:rsidR="00704A23">
              <w:rPr>
                <w:rFonts w:ascii="Arial" w:hAnsi="Arial" w:hint="cs"/>
                <w:b/>
                <w:bCs/>
                <w:noProof/>
                <w:sz w:val="24"/>
                <w:szCs w:val="24"/>
                <w:u w:val="single"/>
                <w:rtl/>
              </w:rPr>
              <w:t>פנמה</w:t>
            </w:r>
            <w:r>
              <w:rPr>
                <w:rFonts w:ascii="Arial" w:hAnsi="Arial" w:hint="cs"/>
                <w:b/>
                <w:bCs/>
                <w:noProof/>
                <w:sz w:val="24"/>
                <w:szCs w:val="24"/>
                <w:rtl/>
              </w:rPr>
              <w:t xml:space="preserve"> שעשוייה להופיע במבחן, לאור השיעור</w:t>
            </w:r>
          </w:p>
        </w:tc>
        <w:tc>
          <w:tcPr>
            <w:tcW w:w="3224" w:type="pct"/>
          </w:tcPr>
          <w:p w14:paraId="32C5128F" w14:textId="77777777" w:rsidR="008D68D9" w:rsidRDefault="00AD2405" w:rsidP="00704A23">
            <w:pPr>
              <w:rPr>
                <w:rFonts w:ascii="Arial" w:hAnsi="Arial"/>
                <w:sz w:val="24"/>
                <w:szCs w:val="24"/>
                <w:rtl/>
              </w:rPr>
            </w:pPr>
            <w:r>
              <w:rPr>
                <w:rFonts w:ascii="Arial" w:hAnsi="Arial" w:hint="cs"/>
                <w:sz w:val="24"/>
                <w:szCs w:val="24"/>
                <w:rtl/>
              </w:rPr>
              <w:t xml:space="preserve">מדינת ישראל היא ראשית צמיחת גאולתנו </w:t>
            </w:r>
            <w:r>
              <w:rPr>
                <w:rFonts w:ascii="Arial" w:hAnsi="Arial"/>
                <w:sz w:val="24"/>
                <w:szCs w:val="24"/>
                <w:rtl/>
              </w:rPr>
              <w:t>–</w:t>
            </w:r>
            <w:r>
              <w:rPr>
                <w:rFonts w:ascii="Arial" w:hAnsi="Arial" w:hint="cs"/>
                <w:sz w:val="24"/>
                <w:szCs w:val="24"/>
                <w:rtl/>
              </w:rPr>
              <w:t xml:space="preserve"> הבא שני נימוקים מצדדים בקביעה זו ושני נימוקים החולקים על קביעה זו.</w:t>
            </w:r>
          </w:p>
          <w:p w14:paraId="4D65D2E9" w14:textId="77777777" w:rsidR="00AD2405" w:rsidRPr="00AD2405" w:rsidRDefault="00AD2405" w:rsidP="00704A23">
            <w:pPr>
              <w:rPr>
                <w:rFonts w:ascii="Arial" w:hAnsi="Arial"/>
                <w:sz w:val="24"/>
                <w:szCs w:val="24"/>
              </w:rPr>
            </w:pPr>
            <w:r>
              <w:rPr>
                <w:rFonts w:ascii="Arial" w:hAnsi="Arial" w:hint="cs"/>
                <w:sz w:val="24"/>
                <w:szCs w:val="24"/>
                <w:rtl/>
              </w:rPr>
              <w:t xml:space="preserve">לאור דבריך בסעיף הקודם האם המצדדים בקביעה שהמדינה היא ראשית צמיחת גאולתנו, סוברים שיש </w:t>
            </w:r>
            <w:proofErr w:type="spellStart"/>
            <w:r>
              <w:rPr>
                <w:rFonts w:ascii="Arial" w:hAnsi="Arial" w:hint="cs"/>
                <w:sz w:val="24"/>
                <w:szCs w:val="24"/>
                <w:rtl/>
              </w:rPr>
              <w:t>מימד</w:t>
            </w:r>
            <w:proofErr w:type="spellEnd"/>
            <w:r>
              <w:rPr>
                <w:rFonts w:ascii="Arial" w:hAnsi="Arial" w:hint="cs"/>
                <w:sz w:val="24"/>
                <w:szCs w:val="24"/>
                <w:rtl/>
              </w:rPr>
              <w:t xml:space="preserve"> רוחני בגאולה או שהגאולה היא אך ורק מעשית?</w:t>
            </w:r>
          </w:p>
        </w:tc>
      </w:tr>
    </w:tbl>
    <w:p w14:paraId="347E9AD6" w14:textId="77777777" w:rsidR="008D68D9" w:rsidRPr="00131C5F" w:rsidRDefault="008D68D9" w:rsidP="008D68D9">
      <w:pPr>
        <w:rPr>
          <w:b/>
          <w:bCs/>
          <w:sz w:val="36"/>
          <w:szCs w:val="36"/>
          <w:u w:val="single"/>
        </w:rPr>
      </w:pPr>
    </w:p>
    <w:p w14:paraId="7806D795" w14:textId="77777777" w:rsidR="00842570" w:rsidRDefault="00842570"/>
    <w:sectPr w:rsidR="00842570" w:rsidSect="00704A23">
      <w:headerReference w:type="first" r:id="rId7"/>
      <w:pgSz w:w="16839" w:h="23814" w:code="8"/>
      <w:pgMar w:top="567" w:right="1800" w:bottom="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6BED3" w14:textId="77777777" w:rsidR="00BA777E" w:rsidRDefault="00BA777E">
      <w:pPr>
        <w:spacing w:line="240" w:lineRule="auto"/>
      </w:pPr>
      <w:r>
        <w:separator/>
      </w:r>
    </w:p>
  </w:endnote>
  <w:endnote w:type="continuationSeparator" w:id="0">
    <w:p w14:paraId="2E0683AE" w14:textId="77777777" w:rsidR="00BA777E" w:rsidRDefault="00BA77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DEE65" w14:textId="77777777" w:rsidR="00BA777E" w:rsidRDefault="00BA777E">
      <w:pPr>
        <w:spacing w:line="240" w:lineRule="auto"/>
      </w:pPr>
      <w:r>
        <w:separator/>
      </w:r>
    </w:p>
  </w:footnote>
  <w:footnote w:type="continuationSeparator" w:id="0">
    <w:p w14:paraId="7EC598F0" w14:textId="77777777" w:rsidR="00BA777E" w:rsidRDefault="00BA77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7F837" w14:textId="77777777" w:rsidR="001D5E47" w:rsidRPr="00337721" w:rsidRDefault="001D5E47" w:rsidP="00704A23">
    <w:pPr>
      <w:spacing w:line="360" w:lineRule="auto"/>
      <w:jc w:val="center"/>
      <w:rPr>
        <w:rFonts w:ascii="Arial" w:hAnsi="Arial"/>
        <w:b/>
        <w:bCs/>
        <w:sz w:val="28"/>
        <w:szCs w:val="28"/>
      </w:rPr>
    </w:pPr>
    <w:r w:rsidRPr="00337721">
      <w:rPr>
        <w:rFonts w:ascii="Arial" w:hAnsi="Arial"/>
        <w:b/>
        <w:bCs/>
        <w:sz w:val="28"/>
        <w:szCs w:val="28"/>
        <w:rtl/>
      </w:rPr>
      <w:t xml:space="preserve">תבנית למערך שיעור </w:t>
    </w:r>
    <w:r>
      <w:rPr>
        <w:rFonts w:ascii="Arial" w:hAnsi="Arial" w:hint="cs"/>
        <w:b/>
        <w:bCs/>
        <w:sz w:val="28"/>
        <w:szCs w:val="28"/>
        <w:rtl/>
      </w:rPr>
      <w:t>במחשבת ישראל</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C6AA4"/>
    <w:multiLevelType w:val="hybridMultilevel"/>
    <w:tmpl w:val="C4462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A1137D"/>
    <w:multiLevelType w:val="hybridMultilevel"/>
    <w:tmpl w:val="97E4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824951">
    <w:abstractNumId w:val="1"/>
  </w:num>
  <w:num w:numId="2" w16cid:durableId="731461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D9"/>
    <w:rsid w:val="000460E5"/>
    <w:rsid w:val="000865CF"/>
    <w:rsid w:val="001331A4"/>
    <w:rsid w:val="001544E4"/>
    <w:rsid w:val="001D3527"/>
    <w:rsid w:val="001D5E47"/>
    <w:rsid w:val="002002B2"/>
    <w:rsid w:val="003371D8"/>
    <w:rsid w:val="00367653"/>
    <w:rsid w:val="00466831"/>
    <w:rsid w:val="00635214"/>
    <w:rsid w:val="00704A23"/>
    <w:rsid w:val="0077644A"/>
    <w:rsid w:val="007F4110"/>
    <w:rsid w:val="00842570"/>
    <w:rsid w:val="0084529E"/>
    <w:rsid w:val="008D68D9"/>
    <w:rsid w:val="00A65884"/>
    <w:rsid w:val="00AD2405"/>
    <w:rsid w:val="00BA777E"/>
    <w:rsid w:val="00DD5622"/>
    <w:rsid w:val="00F31E7C"/>
    <w:rsid w:val="00F96D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82913E"/>
  <w15:chartTrackingRefBased/>
  <w15:docId w15:val="{BAE1DB5A-2132-4145-BE6B-A510B4CA0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68D9"/>
    <w:pPr>
      <w:bidi/>
      <w:spacing w:line="320" w:lineRule="atLeast"/>
    </w:pPr>
    <w:rPr>
      <w:rFonts w:ascii="Calibri" w:eastAsia="Calibri" w:hAnsi="Calibri"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unhideWhenUsed/>
    <w:rsid w:val="008D68D9"/>
    <w:rPr>
      <w:color w:val="0000FF"/>
      <w:u w:val="single"/>
    </w:rPr>
  </w:style>
  <w:style w:type="character" w:styleId="FollowedHyperlink">
    <w:name w:val="FollowedHyperlink"/>
    <w:basedOn w:val="a0"/>
    <w:rsid w:val="004668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89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Pages>
  <Words>351</Words>
  <Characters>1759</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השיעור נלקח מתוך האתר https://sites</vt:lpstr>
    </vt:vector>
  </TitlesOfParts>
  <Company>Sony Electronics, Inc.</Company>
  <LinksUpToDate>false</LinksUpToDate>
  <CharactersWithSpaces>2106</CharactersWithSpaces>
  <SharedDoc>false</SharedDoc>
  <HLinks>
    <vt:vector size="12" baseType="variant">
      <vt:variant>
        <vt:i4>6946912</vt:i4>
      </vt:variant>
      <vt:variant>
        <vt:i4>3</vt:i4>
      </vt:variant>
      <vt:variant>
        <vt:i4>0</vt:i4>
      </vt:variant>
      <vt:variant>
        <vt:i4>5</vt:i4>
      </vt:variant>
      <vt:variant>
        <vt:lpwstr>http://streaming.minimam.co.il/avcommamdropfolders/hertzog/meoravirushalmi.wmv</vt:lpwstr>
      </vt:variant>
      <vt:variant>
        <vt:lpwstr/>
      </vt:variant>
      <vt:variant>
        <vt:i4>1</vt:i4>
      </vt:variant>
      <vt:variant>
        <vt:i4>0</vt:i4>
      </vt:variant>
      <vt:variant>
        <vt:i4>0</vt:i4>
      </vt:variant>
      <vt:variant>
        <vt:i4>5</vt:i4>
      </vt:variant>
      <vt:variant>
        <vt:lpwstr>https://sites.google.com/site/howtowritequstions/home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השיעור נלקח מתוך האתר https://sites</dc:title>
  <dc:subject/>
  <dc:creator>user</dc:creator>
  <cp:keywords/>
  <cp:lastModifiedBy>ישראל לוינגר</cp:lastModifiedBy>
  <cp:revision>3</cp:revision>
  <dcterms:created xsi:type="dcterms:W3CDTF">2018-02-25T10:40:00Z</dcterms:created>
  <dcterms:modified xsi:type="dcterms:W3CDTF">2024-12-15T15:56:00Z</dcterms:modified>
</cp:coreProperties>
</file>