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3E7D" w14:textId="77777777" w:rsidR="00BB44CC" w:rsidRPr="00BB44CC" w:rsidRDefault="00BB44CC" w:rsidP="00BB44CC">
      <w:pPr>
        <w:jc w:val="center"/>
        <w:rPr>
          <w:b/>
          <w:bCs/>
        </w:rPr>
      </w:pPr>
      <w:proofErr w:type="spellStart"/>
      <w:r w:rsidRPr="00BB44CC">
        <w:rPr>
          <w:b/>
          <w:bCs/>
          <w:rtl/>
        </w:rPr>
        <w:t>ריה”ל</w:t>
      </w:r>
      <w:proofErr w:type="spellEnd"/>
      <w:r w:rsidRPr="00BB44CC">
        <w:rPr>
          <w:b/>
          <w:bCs/>
          <w:rtl/>
        </w:rPr>
        <w:t xml:space="preserve"> – ספר הכוזרי</w:t>
      </w:r>
    </w:p>
    <w:p w14:paraId="4BCDF1D0" w14:textId="77777777" w:rsidR="00BB44CC" w:rsidRPr="00BB44CC" w:rsidRDefault="00BB44CC" w:rsidP="00BB44CC">
      <w:pPr>
        <w:jc w:val="center"/>
        <w:rPr>
          <w:b/>
          <w:bCs/>
        </w:rPr>
      </w:pPr>
      <w:r w:rsidRPr="00BB44CC">
        <w:rPr>
          <w:b/>
          <w:bCs/>
          <w:rtl/>
        </w:rPr>
        <w:t>עמוד</w:t>
      </w:r>
      <w:r w:rsidRPr="00BB44CC">
        <w:rPr>
          <w:b/>
          <w:bCs/>
        </w:rPr>
        <w:t>: 202</w:t>
      </w:r>
    </w:p>
    <w:p w14:paraId="36C29F71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נושא</w:t>
      </w:r>
      <w:r w:rsidRPr="00BB44CC">
        <w:rPr>
          <w:b/>
          <w:bCs/>
        </w:rPr>
        <w:t>: </w:t>
      </w:r>
      <w:r w:rsidRPr="00BB44CC">
        <w:rPr>
          <w:b/>
          <w:bCs/>
          <w:rtl/>
        </w:rPr>
        <w:t>החובה לעלות לא”י</w:t>
      </w:r>
    </w:p>
    <w:p w14:paraId="636B7496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מסר מרכזי</w:t>
      </w:r>
      <w:r w:rsidRPr="00BB44CC">
        <w:rPr>
          <w:b/>
          <w:bCs/>
        </w:rPr>
        <w:t>:  </w:t>
      </w:r>
      <w:r w:rsidRPr="00BB44CC">
        <w:rPr>
          <w:b/>
          <w:bCs/>
          <w:rtl/>
        </w:rPr>
        <w:t xml:space="preserve">חובת </w:t>
      </w:r>
      <w:proofErr w:type="spellStart"/>
      <w:r w:rsidRPr="00BB44CC">
        <w:rPr>
          <w:b/>
          <w:bCs/>
          <w:rtl/>
        </w:rPr>
        <w:t>העליה</w:t>
      </w:r>
      <w:proofErr w:type="spellEnd"/>
      <w:r w:rsidRPr="00BB44CC">
        <w:rPr>
          <w:b/>
          <w:bCs/>
          <w:rtl/>
        </w:rPr>
        <w:t xml:space="preserve"> לארץ</w:t>
      </w:r>
      <w:r w:rsidRPr="00BB44CC">
        <w:rPr>
          <w:b/>
          <w:bCs/>
        </w:rPr>
        <w:t>.</w:t>
      </w:r>
    </w:p>
    <w:p w14:paraId="2C6483B9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רווחים משניים</w:t>
      </w:r>
      <w:r w:rsidRPr="00BB44CC">
        <w:rPr>
          <w:b/>
          <w:bCs/>
        </w:rPr>
        <w:t>: </w:t>
      </w:r>
      <w:r w:rsidRPr="00BB44CC">
        <w:rPr>
          <w:b/>
          <w:bCs/>
          <w:rtl/>
        </w:rPr>
        <w:t>הדגמת הודאה בטעות</w:t>
      </w:r>
    </w:p>
    <w:p w14:paraId="271E12E5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הקדמה</w:t>
      </w:r>
    </w:p>
    <w:p w14:paraId="47C7A7FE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האם יש דבר מה שאתם יודעים שצריך לעשות ואינכם עושים</w:t>
      </w:r>
      <w:r w:rsidRPr="00BB44CC">
        <w:rPr>
          <w:b/>
          <w:bCs/>
        </w:rPr>
        <w:t>?</w:t>
      </w:r>
    </w:p>
    <w:p w14:paraId="51849C14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ננהל דיון קצר : מדוע?  ונוביל לתובנה הפשוטה, שאין כל סיכוי להתקדמות בטרם ההודאה הפשוטה בצורך לשינוי</w:t>
      </w:r>
      <w:r w:rsidRPr="00BB44CC">
        <w:rPr>
          <w:b/>
          <w:bCs/>
        </w:rPr>
        <w:t>.</w:t>
      </w:r>
    </w:p>
    <w:p w14:paraId="67649F2D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לימוד המקור</w:t>
      </w:r>
    </w:p>
    <w:p w14:paraId="1A3B817A" w14:textId="77777777" w:rsidR="00BB44CC" w:rsidRPr="00BB44CC" w:rsidRDefault="00BB44CC" w:rsidP="00BB44CC">
      <w:pPr>
        <w:numPr>
          <w:ilvl w:val="0"/>
          <w:numId w:val="1"/>
        </w:numPr>
        <w:rPr>
          <w:b/>
          <w:bCs/>
        </w:rPr>
      </w:pPr>
      <w:r w:rsidRPr="00BB44CC">
        <w:rPr>
          <w:b/>
          <w:bCs/>
          <w:rtl/>
        </w:rPr>
        <w:t>מהם תכונותיה המיוחדות של ארץ ישראל? מה משותף לכל התכונות המוזכרות</w:t>
      </w:r>
      <w:r w:rsidRPr="00BB44CC">
        <w:rPr>
          <w:b/>
          <w:bCs/>
        </w:rPr>
        <w:t>?</w:t>
      </w:r>
    </w:p>
    <w:p w14:paraId="77E2F005" w14:textId="77777777" w:rsidR="00BB44CC" w:rsidRPr="00BB44CC" w:rsidRDefault="00BB44CC" w:rsidP="00BB44CC">
      <w:pPr>
        <w:numPr>
          <w:ilvl w:val="0"/>
          <w:numId w:val="2"/>
        </w:numPr>
        <w:rPr>
          <w:b/>
          <w:bCs/>
        </w:rPr>
      </w:pPr>
      <w:r w:rsidRPr="00BB44CC">
        <w:rPr>
          <w:b/>
          <w:bCs/>
          <w:rtl/>
        </w:rPr>
        <w:t>הייתה שם שכינה 900 שנה. גם תחזור לשם</w:t>
      </w:r>
      <w:r w:rsidRPr="00BB44CC">
        <w:rPr>
          <w:b/>
          <w:bCs/>
        </w:rPr>
        <w:t>.</w:t>
      </w:r>
    </w:p>
    <w:p w14:paraId="581EF3B0" w14:textId="77777777" w:rsidR="00BB44CC" w:rsidRPr="00BB44CC" w:rsidRDefault="00BB44CC" w:rsidP="00BB44CC">
      <w:pPr>
        <w:numPr>
          <w:ilvl w:val="0"/>
          <w:numId w:val="2"/>
        </w:numPr>
        <w:rPr>
          <w:b/>
          <w:bCs/>
        </w:rPr>
      </w:pPr>
      <w:r w:rsidRPr="00BB44CC">
        <w:rPr>
          <w:b/>
          <w:bCs/>
          <w:rtl/>
        </w:rPr>
        <w:t>מקום ‘</w:t>
      </w:r>
      <w:proofErr w:type="spellStart"/>
      <w:r w:rsidRPr="00BB44CC">
        <w:rPr>
          <w:b/>
          <w:bCs/>
          <w:rtl/>
        </w:rPr>
        <w:t>העליה</w:t>
      </w:r>
      <w:proofErr w:type="spellEnd"/>
      <w:r w:rsidRPr="00BB44CC">
        <w:rPr>
          <w:b/>
          <w:bCs/>
          <w:rtl/>
        </w:rPr>
        <w:t xml:space="preserve"> לשמים</w:t>
      </w:r>
      <w:r w:rsidRPr="00BB44CC">
        <w:rPr>
          <w:b/>
          <w:bCs/>
        </w:rPr>
        <w:t>’ .</w:t>
      </w:r>
    </w:p>
    <w:p w14:paraId="36779B27" w14:textId="77777777" w:rsidR="00BB44CC" w:rsidRPr="00BB44CC" w:rsidRDefault="00BB44CC" w:rsidP="00BB44CC">
      <w:pPr>
        <w:numPr>
          <w:ilvl w:val="0"/>
          <w:numId w:val="2"/>
        </w:numPr>
        <w:rPr>
          <w:b/>
          <w:bCs/>
        </w:rPr>
      </w:pPr>
      <w:r w:rsidRPr="00BB44CC">
        <w:rPr>
          <w:b/>
          <w:bCs/>
          <w:rtl/>
        </w:rPr>
        <w:t>מקום המשפט הסופי</w:t>
      </w:r>
      <w:r w:rsidRPr="00BB44CC">
        <w:rPr>
          <w:b/>
          <w:bCs/>
        </w:rPr>
        <w:t>.</w:t>
      </w:r>
    </w:p>
    <w:p w14:paraId="2587F672" w14:textId="77777777" w:rsidR="00BB44CC" w:rsidRPr="00BB44CC" w:rsidRDefault="00BB44CC" w:rsidP="00BB44CC">
      <w:pPr>
        <w:numPr>
          <w:ilvl w:val="0"/>
          <w:numId w:val="2"/>
        </w:numPr>
        <w:rPr>
          <w:b/>
          <w:bCs/>
        </w:rPr>
      </w:pPr>
      <w:r w:rsidRPr="00BB44CC">
        <w:rPr>
          <w:b/>
          <w:bCs/>
          <w:rtl/>
        </w:rPr>
        <w:t>המקום אליו מתפללים ואליו עולים לרגל</w:t>
      </w:r>
      <w:r w:rsidRPr="00BB44CC">
        <w:rPr>
          <w:b/>
          <w:bCs/>
        </w:rPr>
        <w:t>.</w:t>
      </w:r>
    </w:p>
    <w:p w14:paraId="6C062DA2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הלכות ייחודיות ליהודים. ניתן להקבילם מדברי הרמב”ם פרק ה מהלכות מלכים</w:t>
      </w:r>
      <w:r w:rsidRPr="00BB44CC">
        <w:rPr>
          <w:b/>
          <w:bCs/>
        </w:rPr>
        <w:t>:</w:t>
      </w:r>
    </w:p>
    <w:p w14:paraId="44117EDC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  </w:t>
      </w:r>
      <w:r w:rsidRPr="00BB44CC">
        <w:rPr>
          <w:b/>
          <w:bCs/>
          <w:rtl/>
        </w:rPr>
        <w:t xml:space="preserve">[ט] אסור לצאת מארץ ישראל לחוצה לארץ לעולם–אלא ללמוד תורה, או </w:t>
      </w:r>
      <w:proofErr w:type="spellStart"/>
      <w:r w:rsidRPr="00BB44CC">
        <w:rPr>
          <w:b/>
          <w:bCs/>
          <w:rtl/>
        </w:rPr>
        <w:t>לישא</w:t>
      </w:r>
      <w:proofErr w:type="spellEnd"/>
      <w:r w:rsidRPr="00BB44CC">
        <w:rPr>
          <w:b/>
          <w:bCs/>
          <w:rtl/>
        </w:rPr>
        <w:t xml:space="preserve"> אישה, או להציל מיד הגויים, ויחזור לארץ; וכן יוצא הוא לסחורה.  אבל לשכון בחוצה לארץ, אסור–אלא אם כן חזק שם הרעב, עד שנעשה שווה דינר </w:t>
      </w:r>
      <w:proofErr w:type="spellStart"/>
      <w:r w:rsidRPr="00BB44CC">
        <w:rPr>
          <w:b/>
          <w:bCs/>
          <w:rtl/>
        </w:rPr>
        <w:t>חיטין</w:t>
      </w:r>
      <w:proofErr w:type="spellEnd"/>
      <w:r w:rsidRPr="00BB44CC">
        <w:rPr>
          <w:b/>
          <w:bCs/>
          <w:rtl/>
        </w:rPr>
        <w:t xml:space="preserve"> בשני </w:t>
      </w:r>
      <w:proofErr w:type="spellStart"/>
      <w:r w:rsidRPr="00BB44CC">
        <w:rPr>
          <w:b/>
          <w:bCs/>
          <w:rtl/>
        </w:rPr>
        <w:t>דינרין</w:t>
      </w:r>
      <w:proofErr w:type="spellEnd"/>
      <w:r w:rsidRPr="00BB44CC">
        <w:rPr>
          <w:b/>
          <w:bCs/>
        </w:rPr>
        <w:t>.</w:t>
      </w:r>
    </w:p>
    <w:p w14:paraId="6E3CA40C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  </w:t>
      </w:r>
      <w:r w:rsidRPr="00BB44CC">
        <w:rPr>
          <w:b/>
          <w:bCs/>
          <w:rtl/>
        </w:rPr>
        <w:t xml:space="preserve">במה דברים אמורים, </w:t>
      </w:r>
      <w:proofErr w:type="spellStart"/>
      <w:r w:rsidRPr="00BB44CC">
        <w:rPr>
          <w:b/>
          <w:bCs/>
          <w:rtl/>
        </w:rPr>
        <w:t>בשהיו</w:t>
      </w:r>
      <w:proofErr w:type="spellEnd"/>
      <w:r w:rsidRPr="00BB44CC">
        <w:rPr>
          <w:b/>
          <w:bCs/>
          <w:rtl/>
        </w:rPr>
        <w:t xml:space="preserve"> המעות מצויות והפירות ביוקר.  אבל אם היו הפירות בזול, ולא ימצא מעות ולא במה ישתכר, ואבדה פרוטה מן הכיס–ייצא לכל מקום שימצא בו </w:t>
      </w:r>
      <w:proofErr w:type="spellStart"/>
      <w:r w:rsidRPr="00BB44CC">
        <w:rPr>
          <w:b/>
          <w:bCs/>
          <w:rtl/>
        </w:rPr>
        <w:t>ריוח</w:t>
      </w:r>
      <w:proofErr w:type="spellEnd"/>
      <w:r w:rsidRPr="00BB44CC">
        <w:rPr>
          <w:b/>
          <w:bCs/>
          <w:rtl/>
        </w:rPr>
        <w:t xml:space="preserve">.  ואף על פי שמותר לצאת, אינה מידת חסידות:  שהרי מחלון </w:t>
      </w:r>
      <w:proofErr w:type="spellStart"/>
      <w:r w:rsidRPr="00BB44CC">
        <w:rPr>
          <w:b/>
          <w:bCs/>
          <w:rtl/>
        </w:rPr>
        <w:t>וכליון</w:t>
      </w:r>
      <w:proofErr w:type="spellEnd"/>
      <w:r w:rsidRPr="00BB44CC">
        <w:rPr>
          <w:b/>
          <w:bCs/>
          <w:rtl/>
        </w:rPr>
        <w:t xml:space="preserve"> שני גדולי הדור היו, מפני צרה גדולה יצאו, </w:t>
      </w:r>
      <w:proofErr w:type="spellStart"/>
      <w:r w:rsidRPr="00BB44CC">
        <w:rPr>
          <w:b/>
          <w:bCs/>
          <w:rtl/>
        </w:rPr>
        <w:t>ונתחייבו</w:t>
      </w:r>
      <w:proofErr w:type="spellEnd"/>
      <w:r w:rsidRPr="00BB44CC">
        <w:rPr>
          <w:b/>
          <w:bCs/>
          <w:rtl/>
        </w:rPr>
        <w:t xml:space="preserve"> כליה למקום</w:t>
      </w:r>
      <w:r w:rsidRPr="00BB44CC">
        <w:rPr>
          <w:b/>
          <w:bCs/>
        </w:rPr>
        <w:t>.</w:t>
      </w:r>
    </w:p>
    <w:p w14:paraId="276E504E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  </w:t>
      </w:r>
      <w:r w:rsidRPr="00BB44CC">
        <w:rPr>
          <w:b/>
          <w:bCs/>
          <w:rtl/>
        </w:rPr>
        <w:t xml:space="preserve">[י] גדולי החכמים היו </w:t>
      </w:r>
      <w:proofErr w:type="spellStart"/>
      <w:r w:rsidRPr="00BB44CC">
        <w:rPr>
          <w:b/>
          <w:bCs/>
          <w:rtl/>
        </w:rPr>
        <w:t>מנשקין</w:t>
      </w:r>
      <w:proofErr w:type="spellEnd"/>
      <w:r w:rsidRPr="00BB44CC">
        <w:rPr>
          <w:b/>
          <w:bCs/>
          <w:rtl/>
        </w:rPr>
        <w:t xml:space="preserve"> על תחומי ארץ ישראל, </w:t>
      </w:r>
      <w:proofErr w:type="spellStart"/>
      <w:r w:rsidRPr="00BB44CC">
        <w:rPr>
          <w:b/>
          <w:bCs/>
          <w:rtl/>
        </w:rPr>
        <w:t>ומנשקין</w:t>
      </w:r>
      <w:proofErr w:type="spellEnd"/>
      <w:r w:rsidRPr="00BB44CC">
        <w:rPr>
          <w:b/>
          <w:bCs/>
          <w:rtl/>
        </w:rPr>
        <w:t xml:space="preserve"> אבניה, </w:t>
      </w:r>
      <w:proofErr w:type="spellStart"/>
      <w:r w:rsidRPr="00BB44CC">
        <w:rPr>
          <w:b/>
          <w:bCs/>
          <w:rtl/>
        </w:rPr>
        <w:t>ומתגלגלין</w:t>
      </w:r>
      <w:proofErr w:type="spellEnd"/>
      <w:r w:rsidRPr="00BB44CC">
        <w:rPr>
          <w:b/>
          <w:bCs/>
          <w:rtl/>
        </w:rPr>
        <w:t xml:space="preserve"> על עפרה; וכן הוא אומר “כי רצו עבדיך, את אבניה; ואת עפרה, יחוננו</w:t>
      </w:r>
      <w:r w:rsidRPr="00BB44CC">
        <w:rPr>
          <w:b/>
          <w:bCs/>
        </w:rPr>
        <w:t>” (</w:t>
      </w:r>
      <w:hyperlink r:id="rId5" w:anchor="15" w:history="1">
        <w:r w:rsidRPr="00BB44CC">
          <w:rPr>
            <w:rStyle w:val="Hyperlink"/>
            <w:b/>
            <w:bCs/>
            <w:rtl/>
          </w:rPr>
          <w:t xml:space="preserve">תהילים </w:t>
        </w:r>
        <w:proofErr w:type="spellStart"/>
        <w:r w:rsidRPr="00BB44CC">
          <w:rPr>
            <w:rStyle w:val="Hyperlink"/>
            <w:b/>
            <w:bCs/>
            <w:rtl/>
          </w:rPr>
          <w:t>קב,טו</w:t>
        </w:r>
        <w:proofErr w:type="spellEnd"/>
      </w:hyperlink>
      <w:r w:rsidRPr="00BB44CC">
        <w:rPr>
          <w:b/>
          <w:bCs/>
        </w:rPr>
        <w:t>).</w:t>
      </w:r>
    </w:p>
    <w:p w14:paraId="4E0B8233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   </w:t>
      </w:r>
      <w:r w:rsidRPr="00BB44CC">
        <w:rPr>
          <w:b/>
          <w:bCs/>
          <w:rtl/>
        </w:rPr>
        <w:t>[יא] אמרו חכמים, כל השוכן בארץ ישראל, עוונותיו מחולין–שנאמר “ובל יאמר שכן, חליתי; העם היושב בה, נשוא עוון</w:t>
      </w:r>
      <w:r w:rsidRPr="00BB44CC">
        <w:rPr>
          <w:b/>
          <w:bCs/>
        </w:rPr>
        <w:t>” (</w:t>
      </w:r>
      <w:hyperlink r:id="rId6" w:anchor="24" w:history="1">
        <w:r w:rsidRPr="00BB44CC">
          <w:rPr>
            <w:rStyle w:val="Hyperlink"/>
            <w:b/>
            <w:bCs/>
            <w:rtl/>
          </w:rPr>
          <w:t xml:space="preserve">ישעיהו </w:t>
        </w:r>
        <w:proofErr w:type="spellStart"/>
        <w:r w:rsidRPr="00BB44CC">
          <w:rPr>
            <w:rStyle w:val="Hyperlink"/>
            <w:b/>
            <w:bCs/>
            <w:rtl/>
          </w:rPr>
          <w:t>לג,כד</w:t>
        </w:r>
        <w:proofErr w:type="spellEnd"/>
      </w:hyperlink>
      <w:r w:rsidRPr="00BB44CC">
        <w:rPr>
          <w:b/>
          <w:bCs/>
        </w:rPr>
        <w:t xml:space="preserve">).  </w:t>
      </w:r>
      <w:r w:rsidRPr="00BB44CC">
        <w:rPr>
          <w:b/>
          <w:bCs/>
          <w:rtl/>
        </w:rPr>
        <w:t xml:space="preserve">אפילו הלך בה ארבע אמות, זוכה לחיי העולם הבא.  וכל הקבור בה, </w:t>
      </w:r>
      <w:proofErr w:type="spellStart"/>
      <w:r w:rsidRPr="00BB44CC">
        <w:rPr>
          <w:b/>
          <w:bCs/>
          <w:rtl/>
        </w:rPr>
        <w:t>נתכפר</w:t>
      </w:r>
      <w:proofErr w:type="spellEnd"/>
      <w:r w:rsidRPr="00BB44CC">
        <w:rPr>
          <w:b/>
          <w:bCs/>
          <w:rtl/>
        </w:rPr>
        <w:t xml:space="preserve"> לו, וכאילו המקום שהוא בו מזבח כפרה, שנאמר “וכיפר אדמתו עמו</w:t>
      </w:r>
      <w:r w:rsidRPr="00BB44CC">
        <w:rPr>
          <w:b/>
          <w:bCs/>
        </w:rPr>
        <w:t>” (</w:t>
      </w:r>
      <w:hyperlink r:id="rId7" w:anchor="43" w:history="1">
        <w:r w:rsidRPr="00BB44CC">
          <w:rPr>
            <w:rStyle w:val="Hyperlink"/>
            <w:b/>
            <w:bCs/>
            <w:rtl/>
          </w:rPr>
          <w:t xml:space="preserve">דברים </w:t>
        </w:r>
        <w:proofErr w:type="spellStart"/>
        <w:r w:rsidRPr="00BB44CC">
          <w:rPr>
            <w:rStyle w:val="Hyperlink"/>
            <w:b/>
            <w:bCs/>
            <w:rtl/>
          </w:rPr>
          <w:t>לב,מג</w:t>
        </w:r>
        <w:proofErr w:type="spellEnd"/>
      </w:hyperlink>
      <w:r w:rsidRPr="00BB44CC">
        <w:rPr>
          <w:b/>
          <w:bCs/>
        </w:rPr>
        <w:t xml:space="preserve">).  </w:t>
      </w:r>
      <w:r w:rsidRPr="00BB44CC">
        <w:rPr>
          <w:b/>
          <w:bCs/>
          <w:rtl/>
        </w:rPr>
        <w:t>ובפורענות הוא אומר “על אדמה טמאה תמות</w:t>
      </w:r>
      <w:r w:rsidRPr="00BB44CC">
        <w:rPr>
          <w:b/>
          <w:bCs/>
        </w:rPr>
        <w:t>” (</w:t>
      </w:r>
      <w:hyperlink r:id="rId8" w:anchor="17" w:history="1">
        <w:r w:rsidRPr="00BB44CC">
          <w:rPr>
            <w:rStyle w:val="Hyperlink"/>
            <w:b/>
            <w:bCs/>
            <w:rtl/>
          </w:rPr>
          <w:t xml:space="preserve">עמוס </w:t>
        </w:r>
        <w:proofErr w:type="spellStart"/>
        <w:r w:rsidRPr="00BB44CC">
          <w:rPr>
            <w:rStyle w:val="Hyperlink"/>
            <w:b/>
            <w:bCs/>
            <w:rtl/>
          </w:rPr>
          <w:t>ז,יז</w:t>
        </w:r>
        <w:proofErr w:type="spellEnd"/>
      </w:hyperlink>
      <w:r w:rsidRPr="00BB44CC">
        <w:rPr>
          <w:b/>
          <w:bCs/>
        </w:rPr>
        <w:t xml:space="preserve">).  </w:t>
      </w:r>
      <w:r w:rsidRPr="00BB44CC">
        <w:rPr>
          <w:b/>
          <w:bCs/>
          <w:rtl/>
        </w:rPr>
        <w:t xml:space="preserve">ואינו דומה </w:t>
      </w:r>
      <w:proofErr w:type="spellStart"/>
      <w:r w:rsidRPr="00BB44CC">
        <w:rPr>
          <w:b/>
          <w:bCs/>
          <w:rtl/>
        </w:rPr>
        <w:t>קולטתו</w:t>
      </w:r>
      <w:proofErr w:type="spellEnd"/>
      <w:r w:rsidRPr="00BB44CC">
        <w:rPr>
          <w:b/>
          <w:bCs/>
          <w:rtl/>
        </w:rPr>
        <w:t xml:space="preserve"> מחיים, למי </w:t>
      </w:r>
      <w:proofErr w:type="spellStart"/>
      <w:r w:rsidRPr="00BB44CC">
        <w:rPr>
          <w:b/>
          <w:bCs/>
          <w:rtl/>
        </w:rPr>
        <w:t>שקולטתו</w:t>
      </w:r>
      <w:proofErr w:type="spellEnd"/>
      <w:r w:rsidRPr="00BB44CC">
        <w:rPr>
          <w:b/>
          <w:bCs/>
          <w:rtl/>
        </w:rPr>
        <w:t xml:space="preserve"> לאחר מיתה.  ואף על פי כן גדולי החכמים היו </w:t>
      </w:r>
      <w:proofErr w:type="spellStart"/>
      <w:r w:rsidRPr="00BB44CC">
        <w:rPr>
          <w:b/>
          <w:bCs/>
          <w:rtl/>
        </w:rPr>
        <w:t>מוליכין</w:t>
      </w:r>
      <w:proofErr w:type="spellEnd"/>
      <w:r w:rsidRPr="00BB44CC">
        <w:rPr>
          <w:b/>
          <w:bCs/>
          <w:rtl/>
        </w:rPr>
        <w:t xml:space="preserve"> את מתיהן לשם; צא ולמד </w:t>
      </w:r>
      <w:proofErr w:type="spellStart"/>
      <w:r w:rsidRPr="00BB44CC">
        <w:rPr>
          <w:b/>
          <w:bCs/>
          <w:rtl/>
        </w:rPr>
        <w:t>מיעקוב</w:t>
      </w:r>
      <w:proofErr w:type="spellEnd"/>
      <w:r w:rsidRPr="00BB44CC">
        <w:rPr>
          <w:b/>
          <w:bCs/>
          <w:rtl/>
        </w:rPr>
        <w:t xml:space="preserve"> אבינו, ויוסף הצדיק</w:t>
      </w:r>
      <w:r w:rsidRPr="00BB44CC">
        <w:rPr>
          <w:b/>
          <w:bCs/>
        </w:rPr>
        <w:t>.</w:t>
      </w:r>
    </w:p>
    <w:p w14:paraId="2A8EAB68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  </w:t>
      </w:r>
      <w:r w:rsidRPr="00BB44CC">
        <w:rPr>
          <w:b/>
          <w:bCs/>
          <w:rtl/>
        </w:rPr>
        <w:t>[</w:t>
      </w:r>
      <w:proofErr w:type="spellStart"/>
      <w:r w:rsidRPr="00BB44CC">
        <w:rPr>
          <w:b/>
          <w:bCs/>
          <w:rtl/>
        </w:rPr>
        <w:t>יב</w:t>
      </w:r>
      <w:proofErr w:type="spellEnd"/>
      <w:r w:rsidRPr="00BB44CC">
        <w:rPr>
          <w:b/>
          <w:bCs/>
          <w:rtl/>
        </w:rPr>
        <w:t>] לעולם ידור אדם בארץ ישראל, אפילו בעיר שרובה גויים; ואל ידור בחוצה לארץ, ואפילו בעיר שרובה ישראל:  שכל היוצא לחוצה לארץ–כאילו עובד עבודה זרה, שנאמר “כי גירשוני היום מהסתפח בנחלת ה’ לאמור לך עבוד אלוהים אחרים</w:t>
      </w:r>
      <w:r w:rsidRPr="00BB44CC">
        <w:rPr>
          <w:b/>
          <w:bCs/>
        </w:rPr>
        <w:t>” (</w:t>
      </w:r>
      <w:hyperlink r:id="rId9" w:anchor="19" w:history="1">
        <w:r w:rsidRPr="00BB44CC">
          <w:rPr>
            <w:rStyle w:val="Hyperlink"/>
            <w:b/>
            <w:bCs/>
            <w:rtl/>
          </w:rPr>
          <w:t xml:space="preserve">שמואל א </w:t>
        </w:r>
        <w:proofErr w:type="spellStart"/>
        <w:r w:rsidRPr="00BB44CC">
          <w:rPr>
            <w:rStyle w:val="Hyperlink"/>
            <w:b/>
            <w:bCs/>
            <w:rtl/>
          </w:rPr>
          <w:t>כו,יט</w:t>
        </w:r>
        <w:proofErr w:type="spellEnd"/>
      </w:hyperlink>
      <w:r w:rsidRPr="00BB44CC">
        <w:rPr>
          <w:b/>
          <w:bCs/>
        </w:rPr>
        <w:t xml:space="preserve">).  </w:t>
      </w:r>
      <w:r w:rsidRPr="00BB44CC">
        <w:rPr>
          <w:b/>
          <w:bCs/>
          <w:rtl/>
        </w:rPr>
        <w:t>ובפורענות הוא אומר “ואל אדמת ישראל לא יבואו</w:t>
      </w:r>
      <w:r w:rsidRPr="00BB44CC">
        <w:rPr>
          <w:b/>
          <w:bCs/>
        </w:rPr>
        <w:t>” (</w:t>
      </w:r>
      <w:hyperlink r:id="rId10" w:anchor="9" w:history="1">
        <w:r w:rsidRPr="00BB44CC">
          <w:rPr>
            <w:rStyle w:val="Hyperlink"/>
            <w:b/>
            <w:bCs/>
            <w:rtl/>
          </w:rPr>
          <w:t xml:space="preserve">יחזקאל </w:t>
        </w:r>
        <w:proofErr w:type="spellStart"/>
        <w:r w:rsidRPr="00BB44CC">
          <w:rPr>
            <w:rStyle w:val="Hyperlink"/>
            <w:b/>
            <w:bCs/>
            <w:rtl/>
          </w:rPr>
          <w:t>יג,ט</w:t>
        </w:r>
        <w:proofErr w:type="spellEnd"/>
      </w:hyperlink>
      <w:r w:rsidRPr="00BB44CC">
        <w:rPr>
          <w:b/>
          <w:bCs/>
        </w:rPr>
        <w:t>).</w:t>
      </w:r>
    </w:p>
    <w:p w14:paraId="3E527632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ניתן לבקש מן התלמידים ליצור הקבלה , למצוא זהות בין המקורות. כך</w:t>
      </w:r>
      <w:r w:rsidRPr="00BB44CC">
        <w:rPr>
          <w:b/>
          <w:bCs/>
        </w:rPr>
        <w:t>:</w:t>
      </w:r>
    </w:p>
    <w:tbl>
      <w:tblPr>
        <w:tblW w:w="8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869"/>
        <w:gridCol w:w="854"/>
        <w:gridCol w:w="1613"/>
        <w:gridCol w:w="2257"/>
        <w:gridCol w:w="2404"/>
      </w:tblGrid>
      <w:tr w:rsidR="00BB44CC" w:rsidRPr="00BB44CC" w14:paraId="27E393E3" w14:textId="77777777" w:rsidTr="00BB44C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2597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lastRenderedPageBreak/>
              <w:t>כוזרי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125B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בוחרים לדור בה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1AAD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העדיפו היות גרים בה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5515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אם כי… הייתה אז הארץ מלאה … עבודה זרה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F898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ולא היו יוצאים ממנה בשנות רעב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C39F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היו מבקשים כי תעלינה עצמותיהם אליה</w:t>
            </w:r>
            <w:r w:rsidRPr="00BB44CC">
              <w:rPr>
                <w:b/>
                <w:bCs/>
              </w:rPr>
              <w:t>.</w:t>
            </w:r>
          </w:p>
        </w:tc>
      </w:tr>
      <w:tr w:rsidR="00BB44CC" w:rsidRPr="00BB44CC" w14:paraId="4C88207D" w14:textId="77777777" w:rsidTr="00BB44C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3F3C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רמב”ם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BD7B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לעולם ידור אדם בארץ ישראל, אפילו בעיר שרובה גויים (</w:t>
            </w:r>
            <w:proofErr w:type="spellStart"/>
            <w:r w:rsidRPr="00BB44CC">
              <w:rPr>
                <w:b/>
                <w:bCs/>
                <w:rtl/>
              </w:rPr>
              <w:t>יב</w:t>
            </w:r>
            <w:proofErr w:type="spellEnd"/>
            <w:r w:rsidRPr="00BB44CC">
              <w:rPr>
                <w:b/>
                <w:bCs/>
                <w:rtl/>
              </w:rPr>
              <w:t>)</w:t>
            </w:r>
            <w:r w:rsidRPr="00BB44CC">
              <w:rPr>
                <w:b/>
                <w:bCs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0BFA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לשכון בחוצה לארץ, אסור–אלא אם כן חזק שם הרעב…  ואף על פי שמותר לצאת, אינה מידת חסידות (ט)</w:t>
            </w:r>
            <w:r w:rsidRPr="00BB44CC">
              <w:rPr>
                <w:b/>
                <w:bCs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25B3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 xml:space="preserve">גדולי החכמים היו </w:t>
            </w:r>
            <w:proofErr w:type="spellStart"/>
            <w:r w:rsidRPr="00BB44CC">
              <w:rPr>
                <w:b/>
                <w:bCs/>
                <w:rtl/>
              </w:rPr>
              <w:t>מוליכין</w:t>
            </w:r>
            <w:proofErr w:type="spellEnd"/>
            <w:r w:rsidRPr="00BB44CC">
              <w:rPr>
                <w:b/>
                <w:bCs/>
                <w:rtl/>
              </w:rPr>
              <w:t xml:space="preserve"> את מתיהן לשם; צא ולמד מיעקב אבינו, ויוסף הצדיק (</w:t>
            </w:r>
            <w:proofErr w:type="spellStart"/>
            <w:r w:rsidRPr="00BB44CC">
              <w:rPr>
                <w:b/>
                <w:bCs/>
                <w:rtl/>
              </w:rPr>
              <w:t>יב</w:t>
            </w:r>
            <w:proofErr w:type="spellEnd"/>
            <w:r w:rsidRPr="00BB44CC">
              <w:rPr>
                <w:b/>
                <w:bCs/>
                <w:rtl/>
              </w:rPr>
              <w:t>)</w:t>
            </w:r>
            <w:r w:rsidRPr="00BB44CC">
              <w:rPr>
                <w:b/>
                <w:bCs/>
              </w:rPr>
              <w:t>.</w:t>
            </w:r>
          </w:p>
        </w:tc>
      </w:tr>
    </w:tbl>
    <w:p w14:paraId="1D534643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סעיף כד</w:t>
      </w:r>
    </w:p>
    <w:p w14:paraId="1EBB2C91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הערה חשובה</w:t>
      </w:r>
      <w:r w:rsidRPr="00BB44CC">
        <w:rPr>
          <w:b/>
          <w:bCs/>
        </w:rPr>
        <w:t>:</w:t>
      </w:r>
    </w:p>
    <w:p w14:paraId="0DA9814F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 xml:space="preserve">סעיף זה מקביל לחלוטין להוראת עזרא ונחמיה </w:t>
      </w:r>
      <w:proofErr w:type="spellStart"/>
      <w:r w:rsidRPr="00BB44CC">
        <w:rPr>
          <w:b/>
          <w:bCs/>
          <w:rtl/>
        </w:rPr>
        <w:t>בתכנית</w:t>
      </w:r>
      <w:proofErr w:type="spellEnd"/>
      <w:r w:rsidRPr="00BB44CC">
        <w:rPr>
          <w:b/>
          <w:bCs/>
          <w:rtl/>
        </w:rPr>
        <w:t xml:space="preserve"> הלימודים בתנ”ך בכיתה </w:t>
      </w:r>
      <w:proofErr w:type="spellStart"/>
      <w:r w:rsidRPr="00BB44CC">
        <w:rPr>
          <w:b/>
          <w:bCs/>
          <w:rtl/>
        </w:rPr>
        <w:t>יב</w:t>
      </w:r>
      <w:proofErr w:type="spellEnd"/>
      <w:r w:rsidRPr="00BB44CC">
        <w:rPr>
          <w:b/>
          <w:bCs/>
          <w:rtl/>
        </w:rPr>
        <w:t xml:space="preserve">, ואף </w:t>
      </w:r>
      <w:proofErr w:type="spellStart"/>
      <w:r w:rsidRPr="00BB44CC">
        <w:rPr>
          <w:b/>
          <w:bCs/>
          <w:rtl/>
        </w:rPr>
        <w:t>לתכנית</w:t>
      </w:r>
      <w:proofErr w:type="spellEnd"/>
      <w:r w:rsidRPr="00BB44CC">
        <w:rPr>
          <w:b/>
          <w:bCs/>
          <w:rtl/>
        </w:rPr>
        <w:t xml:space="preserve"> הלימודים </w:t>
      </w:r>
      <w:proofErr w:type="spellStart"/>
      <w:r w:rsidRPr="00BB44CC">
        <w:rPr>
          <w:b/>
          <w:bCs/>
          <w:rtl/>
        </w:rPr>
        <w:t>בהסטוריה</w:t>
      </w:r>
      <w:proofErr w:type="spellEnd"/>
      <w:r w:rsidRPr="00BB44CC">
        <w:rPr>
          <w:b/>
          <w:bCs/>
          <w:rtl/>
        </w:rPr>
        <w:t xml:space="preserve"> בכיתה ו’. כדאי לתאם את ההוראה עם המורים המתאימים</w:t>
      </w:r>
      <w:r w:rsidRPr="00BB44CC">
        <w:rPr>
          <w:b/>
          <w:bCs/>
        </w:rPr>
        <w:t>.</w:t>
      </w:r>
    </w:p>
    <w:p w14:paraId="3AD263E1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כסיכום, נקביל את הפסוקים לנמשל. יש לכתוב נמשל לכל ביטוי מודגש</w:t>
      </w:r>
      <w:r w:rsidRPr="00BB44CC">
        <w:rPr>
          <w:b/>
          <w:bCs/>
        </w:rPr>
        <w:t>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</w:tblGrid>
      <w:tr w:rsidR="00BB44CC" w:rsidRPr="00BB44CC" w14:paraId="71ED05DB" w14:textId="77777777" w:rsidTr="00BB44CC"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5"/>
            </w:tblGrid>
            <w:tr w:rsidR="00BB44CC" w:rsidRPr="00BB44CC" w14:paraId="42AC95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E80B6" w14:textId="77777777" w:rsidR="00BB44CC" w:rsidRPr="00BB44CC" w:rsidRDefault="00BB44CC" w:rsidP="00BB44CC"/>
              </w:tc>
            </w:tr>
          </w:tbl>
          <w:p w14:paraId="71DD9E8E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שיר השירים פרק ה</w:t>
            </w:r>
          </w:p>
          <w:p w14:paraId="5E18A133" w14:textId="77777777" w:rsidR="00BB44CC" w:rsidRPr="00BB44CC" w:rsidRDefault="00BB44CC" w:rsidP="00BB44CC">
            <w:pPr>
              <w:rPr>
                <w:b/>
                <w:bCs/>
              </w:rPr>
            </w:pPr>
            <w:r w:rsidRPr="00BB44CC">
              <w:rPr>
                <w:b/>
                <w:bCs/>
                <w:rtl/>
              </w:rPr>
              <w:t>ב אֲנִי יְשֵׁנָה</w:t>
            </w:r>
            <w:r w:rsidRPr="00BB44CC">
              <w:rPr>
                <w:b/>
                <w:bCs/>
              </w:rPr>
              <w:t>, </w:t>
            </w:r>
            <w:r w:rsidRPr="00BB44CC">
              <w:rPr>
                <w:b/>
                <w:bCs/>
                <w:rtl/>
              </w:rPr>
              <w:t>וְלִבִּי עֵר</w:t>
            </w:r>
            <w:r w:rsidRPr="00BB44CC">
              <w:rPr>
                <w:b/>
                <w:bCs/>
              </w:rPr>
              <w:t xml:space="preserve">; </w:t>
            </w:r>
            <w:r w:rsidRPr="00BB44CC">
              <w:rPr>
                <w:b/>
                <w:bCs/>
                <w:rtl/>
              </w:rPr>
              <w:t>קוֹל דּוֹדִי דוֹפֵק</w:t>
            </w:r>
            <w:r w:rsidRPr="00BB44CC">
              <w:rPr>
                <w:b/>
                <w:bCs/>
              </w:rPr>
              <w:t>, </w:t>
            </w:r>
            <w:r w:rsidRPr="00BB44CC">
              <w:rPr>
                <w:b/>
                <w:bCs/>
                <w:rtl/>
              </w:rPr>
              <w:t xml:space="preserve">פִּתְחִי-לִי </w:t>
            </w:r>
            <w:proofErr w:type="spellStart"/>
            <w:r w:rsidRPr="00BB44CC">
              <w:rPr>
                <w:b/>
                <w:bCs/>
                <w:rtl/>
              </w:rPr>
              <w:t>אֲחֹתִי</w:t>
            </w:r>
            <w:proofErr w:type="spellEnd"/>
            <w:r w:rsidRPr="00BB44CC">
              <w:rPr>
                <w:b/>
                <w:bCs/>
                <w:rtl/>
              </w:rPr>
              <w:t xml:space="preserve"> רַעְיָתִי יוֹנָתִי </w:t>
            </w:r>
            <w:proofErr w:type="spellStart"/>
            <w:r w:rsidRPr="00BB44CC">
              <w:rPr>
                <w:b/>
                <w:bCs/>
                <w:rtl/>
              </w:rPr>
              <w:t>תַמָּתִי</w:t>
            </w:r>
            <w:proofErr w:type="spellEnd"/>
            <w:r w:rsidRPr="00BB44CC">
              <w:rPr>
                <w:b/>
                <w:bCs/>
              </w:rPr>
              <w:t>–</w:t>
            </w:r>
            <w:r w:rsidRPr="00BB44CC">
              <w:rPr>
                <w:b/>
                <w:bCs/>
                <w:rtl/>
              </w:rPr>
              <w:t>שֶׁרֹּאשִׁי נִמְלָא-טָל</w:t>
            </w:r>
            <w:r w:rsidRPr="00BB44CC">
              <w:rPr>
                <w:b/>
                <w:bCs/>
              </w:rPr>
              <w:t xml:space="preserve">, </w:t>
            </w:r>
            <w:proofErr w:type="spellStart"/>
            <w:r w:rsidRPr="00BB44CC">
              <w:rPr>
                <w:b/>
                <w:bCs/>
                <w:rtl/>
              </w:rPr>
              <w:t>קְוֻצּוֹתַי</w:t>
            </w:r>
            <w:proofErr w:type="spellEnd"/>
            <w:r w:rsidRPr="00BB44CC">
              <w:rPr>
                <w:b/>
                <w:bCs/>
                <w:rtl/>
              </w:rPr>
              <w:t xml:space="preserve"> רְסִיסֵי לָיְלָה</w:t>
            </w:r>
            <w:r w:rsidRPr="00BB44CC">
              <w:rPr>
                <w:b/>
                <w:bCs/>
              </w:rPr>
              <w:t>.  </w:t>
            </w:r>
            <w:r w:rsidRPr="00BB44CC">
              <w:rPr>
                <w:b/>
                <w:bCs/>
                <w:rtl/>
              </w:rPr>
              <w:t xml:space="preserve">ג פָּשַׁטְתִּי, </w:t>
            </w:r>
            <w:proofErr w:type="spellStart"/>
            <w:r w:rsidRPr="00BB44CC">
              <w:rPr>
                <w:b/>
                <w:bCs/>
                <w:rtl/>
              </w:rPr>
              <w:t>אֶת-כֻּתָּנְתִּי</w:t>
            </w:r>
            <w:proofErr w:type="spellEnd"/>
            <w:r w:rsidRPr="00BB44CC">
              <w:rPr>
                <w:b/>
                <w:bCs/>
              </w:rPr>
              <w:t>–</w:t>
            </w:r>
            <w:r w:rsidRPr="00BB44CC">
              <w:rPr>
                <w:b/>
                <w:bCs/>
                <w:rtl/>
              </w:rPr>
              <w:t xml:space="preserve">אֵיכָכָה, </w:t>
            </w:r>
            <w:proofErr w:type="spellStart"/>
            <w:r w:rsidRPr="00BB44CC">
              <w:rPr>
                <w:b/>
                <w:bCs/>
                <w:rtl/>
              </w:rPr>
              <w:t>אֶלְבָּשֶׁנָּה</w:t>
            </w:r>
            <w:proofErr w:type="spellEnd"/>
            <w:r w:rsidRPr="00BB44CC">
              <w:rPr>
                <w:b/>
                <w:bCs/>
                <w:rtl/>
              </w:rPr>
              <w:t>; רָחַצְתִּי אֶת-רַגְלַי, אֵיכָכָה אֲטַנְּפֵם</w:t>
            </w:r>
            <w:r w:rsidRPr="00BB44CC">
              <w:rPr>
                <w:b/>
                <w:bCs/>
              </w:rPr>
              <w:t>.  </w:t>
            </w:r>
            <w:r w:rsidRPr="00BB44CC">
              <w:rPr>
                <w:b/>
                <w:bCs/>
                <w:rtl/>
              </w:rPr>
              <w:t>ד</w:t>
            </w:r>
            <w:r w:rsidRPr="00BB44CC">
              <w:rPr>
                <w:b/>
                <w:bCs/>
              </w:rPr>
              <w:t> </w:t>
            </w:r>
            <w:r w:rsidRPr="00BB44CC">
              <w:rPr>
                <w:b/>
                <w:bCs/>
                <w:rtl/>
              </w:rPr>
              <w:t>דּוֹדִי</w:t>
            </w:r>
            <w:r w:rsidRPr="00BB44CC">
              <w:rPr>
                <w:b/>
                <w:bCs/>
              </w:rPr>
              <w:t>, </w:t>
            </w:r>
            <w:r w:rsidRPr="00BB44CC">
              <w:rPr>
                <w:b/>
                <w:bCs/>
                <w:rtl/>
              </w:rPr>
              <w:t xml:space="preserve">שָׁלַח יָדוֹ </w:t>
            </w:r>
            <w:proofErr w:type="spellStart"/>
            <w:r w:rsidRPr="00BB44CC">
              <w:rPr>
                <w:b/>
                <w:bCs/>
                <w:rtl/>
              </w:rPr>
              <w:t>מִן-הַחֹר</w:t>
            </w:r>
            <w:proofErr w:type="spellEnd"/>
            <w:r w:rsidRPr="00BB44CC">
              <w:rPr>
                <w:b/>
                <w:bCs/>
              </w:rPr>
              <w:t xml:space="preserve">, </w:t>
            </w:r>
            <w:r w:rsidRPr="00BB44CC">
              <w:rPr>
                <w:b/>
                <w:bCs/>
                <w:rtl/>
              </w:rPr>
              <w:t>וּמֵעַי, הָמוּ עָלָיו</w:t>
            </w:r>
            <w:r w:rsidRPr="00BB44CC">
              <w:rPr>
                <w:b/>
                <w:bCs/>
              </w:rPr>
              <w:t>.  </w:t>
            </w:r>
            <w:r w:rsidRPr="00BB44CC">
              <w:rPr>
                <w:b/>
                <w:bCs/>
                <w:rtl/>
              </w:rPr>
              <w:t>ה</w:t>
            </w:r>
            <w:r w:rsidRPr="00BB44CC">
              <w:rPr>
                <w:b/>
                <w:bCs/>
              </w:rPr>
              <w:t> </w:t>
            </w:r>
            <w:r w:rsidRPr="00BB44CC">
              <w:rPr>
                <w:b/>
                <w:bCs/>
                <w:rtl/>
              </w:rPr>
              <w:t xml:space="preserve">קַמְתִּי אֲנִי, לִפְתֹּחַ לְדוֹדִי; וְיָדַי נָטְפוּ-מוֹר, </w:t>
            </w:r>
            <w:proofErr w:type="spellStart"/>
            <w:r w:rsidRPr="00BB44CC">
              <w:rPr>
                <w:b/>
                <w:bCs/>
                <w:rtl/>
              </w:rPr>
              <w:t>וְאֶצְבְּעֹתַי</w:t>
            </w:r>
            <w:proofErr w:type="spellEnd"/>
            <w:r w:rsidRPr="00BB44CC">
              <w:rPr>
                <w:b/>
                <w:bCs/>
                <w:rtl/>
              </w:rPr>
              <w:t xml:space="preserve"> מוֹר עֹבֵר, עַל, כַּפּוֹת הַמַּנְעוּל</w:t>
            </w:r>
            <w:r w:rsidRPr="00BB44CC">
              <w:rPr>
                <w:b/>
                <w:bCs/>
              </w:rPr>
              <w:t>.  </w:t>
            </w:r>
            <w:r w:rsidRPr="00BB44CC">
              <w:rPr>
                <w:b/>
                <w:bCs/>
                <w:rtl/>
              </w:rPr>
              <w:t>ו</w:t>
            </w:r>
            <w:r w:rsidRPr="00BB44CC">
              <w:rPr>
                <w:b/>
                <w:bCs/>
              </w:rPr>
              <w:t> </w:t>
            </w:r>
            <w:r w:rsidRPr="00BB44CC">
              <w:rPr>
                <w:b/>
                <w:bCs/>
                <w:rtl/>
              </w:rPr>
              <w:t>פָּתַחְתִּי אֲנִי לְדוֹדִי, וְדוֹדִי חָמַק עָבָר; נַפְשִׁי, יָצְאָה בְדַבְּרוֹ–</w:t>
            </w:r>
            <w:proofErr w:type="spellStart"/>
            <w:r w:rsidRPr="00BB44CC">
              <w:rPr>
                <w:b/>
                <w:bCs/>
                <w:rtl/>
              </w:rPr>
              <w:t>בִּקַּשְׁתִּיהו</w:t>
            </w:r>
            <w:proofErr w:type="spellEnd"/>
            <w:r w:rsidRPr="00BB44CC">
              <w:rPr>
                <w:b/>
                <w:bCs/>
                <w:rtl/>
              </w:rPr>
              <w:t xml:space="preserve">ּ וְלֹא </w:t>
            </w:r>
            <w:proofErr w:type="spellStart"/>
            <w:r w:rsidRPr="00BB44CC">
              <w:rPr>
                <w:b/>
                <w:bCs/>
                <w:rtl/>
              </w:rPr>
              <w:t>מְצָאתִיהו</w:t>
            </w:r>
            <w:proofErr w:type="spellEnd"/>
            <w:r w:rsidRPr="00BB44CC">
              <w:rPr>
                <w:b/>
                <w:bCs/>
                <w:rtl/>
              </w:rPr>
              <w:t>ּ, קְרָאתִיו וְלֹא עָנָנִי</w:t>
            </w:r>
            <w:r w:rsidRPr="00BB44CC">
              <w:rPr>
                <w:b/>
                <w:bCs/>
              </w:rPr>
              <w:t>.  </w:t>
            </w:r>
            <w:r w:rsidRPr="00BB44CC">
              <w:rPr>
                <w:b/>
                <w:bCs/>
                <w:rtl/>
              </w:rPr>
              <w:t>ז</w:t>
            </w:r>
            <w:r w:rsidRPr="00BB44CC">
              <w:rPr>
                <w:b/>
                <w:bCs/>
              </w:rPr>
              <w:t> </w:t>
            </w:r>
            <w:r w:rsidRPr="00BB44CC">
              <w:rPr>
                <w:b/>
                <w:bCs/>
                <w:rtl/>
              </w:rPr>
              <w:t>מְצָאֻנִי הַשֹּׁמְרִים הַסֹּבְבִים בָּעִיר, הִכּוּנִי פְצָעוּנִי; נָשְׂאוּ אֶת-רְדִידִי מֵעָלַי, שֹׁמְרֵי הַחֹמוֹת</w:t>
            </w:r>
            <w:r w:rsidRPr="00BB44CC">
              <w:rPr>
                <w:b/>
                <w:bCs/>
              </w:rPr>
              <w:t>.</w:t>
            </w:r>
          </w:p>
        </w:tc>
      </w:tr>
    </w:tbl>
    <w:p w14:paraId="2D0684B7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אֲנִי יְשֵׁנָה</w:t>
      </w:r>
      <w:r w:rsidRPr="00BB44CC">
        <w:rPr>
          <w:b/>
          <w:bCs/>
        </w:rPr>
        <w:t xml:space="preserve"> – </w:t>
      </w:r>
      <w:r w:rsidRPr="00BB44CC">
        <w:rPr>
          <w:b/>
          <w:bCs/>
          <w:rtl/>
        </w:rPr>
        <w:t>הסתגלות לגלות</w:t>
      </w:r>
      <w:r w:rsidRPr="00BB44CC">
        <w:rPr>
          <w:b/>
          <w:bCs/>
        </w:rPr>
        <w:t>.</w:t>
      </w:r>
    </w:p>
    <w:p w14:paraId="6E1E3885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ְולִבִּי עֵר</w:t>
      </w:r>
      <w:r w:rsidRPr="00BB44CC">
        <w:rPr>
          <w:b/>
          <w:bCs/>
        </w:rPr>
        <w:t xml:space="preserve">– </w:t>
      </w:r>
      <w:r w:rsidRPr="00BB44CC">
        <w:rPr>
          <w:b/>
          <w:bCs/>
          <w:rtl/>
        </w:rPr>
        <w:t>הנבואה מתמידה</w:t>
      </w:r>
      <w:r w:rsidRPr="00BB44CC">
        <w:rPr>
          <w:b/>
          <w:bCs/>
        </w:rPr>
        <w:t>.</w:t>
      </w:r>
    </w:p>
    <w:p w14:paraId="186B3091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</w:t>
      </w:r>
      <w:r w:rsidRPr="00BB44CC">
        <w:rPr>
          <w:b/>
          <w:bCs/>
          <w:rtl/>
        </w:rPr>
        <w:t>דּוֹדִי דוֹפֵק</w:t>
      </w:r>
      <w:r w:rsidRPr="00BB44CC">
        <w:rPr>
          <w:b/>
          <w:bCs/>
        </w:rPr>
        <w:t>- </w:t>
      </w:r>
      <w:r w:rsidRPr="00BB44CC">
        <w:rPr>
          <w:b/>
          <w:bCs/>
          <w:rtl/>
        </w:rPr>
        <w:t>קריאה לארץ. הצהרת כורש</w:t>
      </w:r>
      <w:r w:rsidRPr="00BB44CC">
        <w:rPr>
          <w:b/>
          <w:bCs/>
        </w:rPr>
        <w:t>.</w:t>
      </w:r>
    </w:p>
    <w:p w14:paraId="6332F407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שֶׁרֹּאשִׁי נִמְלָא-טָל </w:t>
      </w:r>
      <w:r w:rsidRPr="00BB44CC">
        <w:rPr>
          <w:b/>
          <w:bCs/>
        </w:rPr>
        <w:t xml:space="preserve">– </w:t>
      </w:r>
      <w:r w:rsidRPr="00BB44CC">
        <w:rPr>
          <w:b/>
          <w:bCs/>
          <w:rtl/>
        </w:rPr>
        <w:t>גלות השכינה</w:t>
      </w:r>
      <w:r w:rsidRPr="00BB44CC">
        <w:rPr>
          <w:b/>
          <w:bCs/>
        </w:rPr>
        <w:t>.</w:t>
      </w:r>
    </w:p>
    <w:p w14:paraId="34C8AA14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 xml:space="preserve">פָּשַׁטְתִּי, </w:t>
      </w:r>
      <w:proofErr w:type="spellStart"/>
      <w:r w:rsidRPr="00BB44CC">
        <w:rPr>
          <w:b/>
          <w:bCs/>
          <w:rtl/>
        </w:rPr>
        <w:t>אֶת-כֻּתָּנְתִּי</w:t>
      </w:r>
      <w:proofErr w:type="spellEnd"/>
      <w:r w:rsidRPr="00BB44CC">
        <w:rPr>
          <w:b/>
          <w:bCs/>
          <w:rtl/>
        </w:rPr>
        <w:t> </w:t>
      </w:r>
      <w:r w:rsidRPr="00BB44CC">
        <w:rPr>
          <w:b/>
          <w:bCs/>
        </w:rPr>
        <w:t xml:space="preserve">– </w:t>
      </w:r>
      <w:r w:rsidRPr="00BB44CC">
        <w:rPr>
          <w:b/>
          <w:bCs/>
          <w:rtl/>
        </w:rPr>
        <w:t>עצלות לצאת מן הגולה</w:t>
      </w:r>
      <w:r w:rsidRPr="00BB44CC">
        <w:rPr>
          <w:b/>
          <w:bCs/>
        </w:rPr>
        <w:t>.</w:t>
      </w:r>
    </w:p>
    <w:p w14:paraId="11318C92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 </w:t>
      </w:r>
      <w:r w:rsidRPr="00BB44CC">
        <w:rPr>
          <w:b/>
          <w:bCs/>
          <w:rtl/>
        </w:rPr>
        <w:t xml:space="preserve">שָׁלַח יָדוֹ </w:t>
      </w:r>
      <w:proofErr w:type="spellStart"/>
      <w:r w:rsidRPr="00BB44CC">
        <w:rPr>
          <w:b/>
          <w:bCs/>
          <w:rtl/>
        </w:rPr>
        <w:t>מִן-הַחֹר</w:t>
      </w:r>
      <w:proofErr w:type="spellEnd"/>
      <w:r w:rsidRPr="00BB44CC">
        <w:rPr>
          <w:b/>
          <w:bCs/>
        </w:rPr>
        <w:t>-</w:t>
      </w:r>
      <w:r w:rsidRPr="00BB44CC">
        <w:rPr>
          <w:b/>
          <w:bCs/>
          <w:rtl/>
        </w:rPr>
        <w:t>עזרא והנביאים מפצירים בישראל לעלות</w:t>
      </w:r>
      <w:r w:rsidRPr="00BB44CC">
        <w:rPr>
          <w:b/>
          <w:bCs/>
        </w:rPr>
        <w:t>.</w:t>
      </w:r>
    </w:p>
    <w:p w14:paraId="34EA8592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  <w:rtl/>
        </w:rPr>
        <w:t>אתגר לתלמידים: מצאו בקטע משפט עם מסר אמוני יסודי, שנכון הרבה מעבר לקטע זה דווקא</w:t>
      </w:r>
      <w:r w:rsidRPr="00BB44CC">
        <w:rPr>
          <w:b/>
          <w:bCs/>
        </w:rPr>
        <w:t>.</w:t>
      </w:r>
    </w:p>
    <w:p w14:paraId="24130549" w14:textId="77777777" w:rsidR="00BB44CC" w:rsidRPr="00BB44CC" w:rsidRDefault="00BB44CC" w:rsidP="00BB44CC">
      <w:pPr>
        <w:rPr>
          <w:b/>
          <w:bCs/>
        </w:rPr>
      </w:pPr>
      <w:r w:rsidRPr="00BB44CC">
        <w:rPr>
          <w:b/>
          <w:bCs/>
        </w:rPr>
        <w:t>“</w:t>
      </w:r>
      <w:r w:rsidRPr="00BB44CC">
        <w:rPr>
          <w:b/>
          <w:bCs/>
          <w:rtl/>
        </w:rPr>
        <w:t>העניין האלוקי אינו חל על אדם כי אם לפי הכנת האדם</w:t>
      </w:r>
      <w:r w:rsidRPr="00BB44CC">
        <w:rPr>
          <w:b/>
          <w:bCs/>
        </w:rPr>
        <w:t>”</w:t>
      </w:r>
    </w:p>
    <w:p w14:paraId="1D72CF7B" w14:textId="77777777" w:rsidR="00BB44CC" w:rsidRPr="00BB44CC" w:rsidRDefault="00BB44CC"/>
    <w:sectPr w:rsidR="00BB44CC" w:rsidRPr="00BB44CC" w:rsidSect="00BE24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8D1"/>
    <w:multiLevelType w:val="multilevel"/>
    <w:tmpl w:val="82A6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1357A"/>
    <w:multiLevelType w:val="multilevel"/>
    <w:tmpl w:val="8EB8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386998">
    <w:abstractNumId w:val="1"/>
  </w:num>
  <w:num w:numId="2" w16cid:durableId="12218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CC"/>
    <w:rsid w:val="00367653"/>
    <w:rsid w:val="00BB44CC"/>
    <w:rsid w:val="00B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956B"/>
  <w15:chartTrackingRefBased/>
  <w15:docId w15:val="{DCD4F693-B661-4E5B-97E3-68EC20B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B44C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B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on-mamre.org/i/t/t15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chon-mamre.org/i/t/t053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chon-mamre.org/i/t/t103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chon-mamre.org/i/t/t26a2.htm" TargetMode="External"/><Relationship Id="rId10" Type="http://schemas.openxmlformats.org/officeDocument/2006/relationships/hyperlink" Target="http://www.mechon-mamre.org/i/t/t12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hon-mamre.org/i/t/t08a26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לוינגר</dc:creator>
  <cp:keywords/>
  <dc:description/>
  <cp:lastModifiedBy>ישראל לוינגר</cp:lastModifiedBy>
  <cp:revision>1</cp:revision>
  <dcterms:created xsi:type="dcterms:W3CDTF">2024-12-15T08:10:00Z</dcterms:created>
  <dcterms:modified xsi:type="dcterms:W3CDTF">2024-12-15T08:11:00Z</dcterms:modified>
</cp:coreProperties>
</file>