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7C05A" w14:textId="31DD7743" w:rsidR="00565635" w:rsidRPr="00565635" w:rsidRDefault="00565635" w:rsidP="00565635">
      <w:pPr>
        <w:jc w:val="center"/>
      </w:pPr>
      <w:r>
        <w:rPr>
          <w:rFonts w:hint="cs"/>
          <w:b/>
          <w:bCs/>
          <w:i/>
          <w:iCs/>
          <w:rtl/>
        </w:rPr>
        <w:t>מערך שיעור</w:t>
      </w:r>
      <w:r w:rsidRPr="00565635">
        <w:rPr>
          <w:b/>
          <w:bCs/>
          <w:i/>
          <w:iCs/>
          <w:rtl/>
        </w:rPr>
        <w:t xml:space="preserve"> – אגרת תקנ”ה, מתוך אגרות </w:t>
      </w:r>
      <w:proofErr w:type="spellStart"/>
      <w:r w:rsidRPr="00565635">
        <w:rPr>
          <w:b/>
          <w:bCs/>
          <w:i/>
          <w:iCs/>
          <w:rtl/>
        </w:rPr>
        <w:t>הראי”ה</w:t>
      </w:r>
      <w:proofErr w:type="spellEnd"/>
      <w:r w:rsidRPr="00565635">
        <w:rPr>
          <w:b/>
          <w:bCs/>
          <w:i/>
          <w:iCs/>
          <w:rtl/>
        </w:rPr>
        <w:t>, הרב קוק </w:t>
      </w:r>
      <w:r w:rsidRPr="00565635">
        <w:rPr>
          <w:b/>
          <w:bCs/>
          <w:i/>
          <w:iCs/>
        </w:rPr>
        <w:t>(81-83)</w:t>
      </w:r>
    </w:p>
    <w:p w14:paraId="5C4B0A52" w14:textId="77777777" w:rsidR="00565635" w:rsidRPr="00565635" w:rsidRDefault="00565635" w:rsidP="00565635">
      <w:r w:rsidRPr="00565635">
        <w:rPr>
          <w:b/>
          <w:bCs/>
          <w:rtl/>
        </w:rPr>
        <w:t xml:space="preserve">גם כאשר יהודי בוחר לעשות רע, עדיין יש בתוכו את </w:t>
      </w:r>
      <w:proofErr w:type="spellStart"/>
      <w:r w:rsidRPr="00565635">
        <w:rPr>
          <w:b/>
          <w:bCs/>
          <w:rtl/>
        </w:rPr>
        <w:t>כח</w:t>
      </w:r>
      <w:proofErr w:type="spellEnd"/>
      <w:r w:rsidRPr="00565635">
        <w:rPr>
          <w:b/>
          <w:bCs/>
          <w:rtl/>
        </w:rPr>
        <w:t xml:space="preserve"> הסגולה הנשאר קדוש</w:t>
      </w:r>
    </w:p>
    <w:tbl>
      <w:tblPr>
        <w:tblW w:w="0" w:type="auto"/>
        <w:tblCellMar>
          <w:top w:w="15" w:type="dxa"/>
          <w:left w:w="15" w:type="dxa"/>
          <w:bottom w:w="15" w:type="dxa"/>
          <w:right w:w="15" w:type="dxa"/>
        </w:tblCellMar>
        <w:tblLook w:val="04A0" w:firstRow="1" w:lastRow="0" w:firstColumn="1" w:lastColumn="0" w:noHBand="0" w:noVBand="1"/>
      </w:tblPr>
      <w:tblGrid>
        <w:gridCol w:w="770"/>
        <w:gridCol w:w="7536"/>
      </w:tblGrid>
      <w:tr w:rsidR="00565635" w:rsidRPr="00565635" w14:paraId="3293A33A" w14:textId="77777777" w:rsidTr="00565635">
        <w:tc>
          <w:tcPr>
            <w:tcW w:w="0" w:type="auto"/>
            <w:tcBorders>
              <w:top w:val="nil"/>
              <w:left w:val="nil"/>
              <w:bottom w:val="nil"/>
              <w:right w:val="nil"/>
            </w:tcBorders>
            <w:shd w:val="clear" w:color="auto" w:fill="auto"/>
            <w:vAlign w:val="center"/>
            <w:hideMark/>
          </w:tcPr>
          <w:p w14:paraId="45D7CC85" w14:textId="77777777" w:rsidR="00565635" w:rsidRPr="00565635" w:rsidRDefault="00565635" w:rsidP="00565635">
            <w:r w:rsidRPr="00565635">
              <w:rPr>
                <w:b/>
                <w:bCs/>
                <w:rtl/>
              </w:rPr>
              <w:t>עמ’ ושורה</w:t>
            </w:r>
          </w:p>
        </w:tc>
        <w:tc>
          <w:tcPr>
            <w:tcW w:w="0" w:type="auto"/>
            <w:tcBorders>
              <w:top w:val="nil"/>
              <w:left w:val="nil"/>
              <w:bottom w:val="nil"/>
              <w:right w:val="nil"/>
            </w:tcBorders>
            <w:shd w:val="clear" w:color="auto" w:fill="auto"/>
            <w:vAlign w:val="center"/>
            <w:hideMark/>
          </w:tcPr>
          <w:p w14:paraId="02CDF744" w14:textId="77777777" w:rsidR="00565635" w:rsidRPr="00565635" w:rsidRDefault="00565635" w:rsidP="00565635">
            <w:r w:rsidRPr="00565635">
              <w:rPr>
                <w:b/>
                <w:bCs/>
                <w:rtl/>
              </w:rPr>
              <w:t>הסבר הטקסט – אגרת תקנ”ה</w:t>
            </w:r>
          </w:p>
        </w:tc>
      </w:tr>
      <w:tr w:rsidR="00565635" w:rsidRPr="00565635" w14:paraId="37E0AABF" w14:textId="77777777" w:rsidTr="00565635">
        <w:tc>
          <w:tcPr>
            <w:tcW w:w="0" w:type="auto"/>
            <w:tcBorders>
              <w:top w:val="nil"/>
              <w:left w:val="nil"/>
              <w:bottom w:val="nil"/>
              <w:right w:val="nil"/>
            </w:tcBorders>
            <w:shd w:val="clear" w:color="auto" w:fill="auto"/>
            <w:vAlign w:val="center"/>
            <w:hideMark/>
          </w:tcPr>
          <w:p w14:paraId="64E9B266" w14:textId="77777777" w:rsidR="00565635" w:rsidRPr="00565635" w:rsidRDefault="00565635" w:rsidP="00565635">
            <w:r w:rsidRPr="00565635">
              <w:rPr>
                <w:rtl/>
              </w:rPr>
              <w:t>עמ’ 81, ש’  1-5</w:t>
            </w:r>
          </w:p>
        </w:tc>
        <w:tc>
          <w:tcPr>
            <w:tcW w:w="0" w:type="auto"/>
            <w:tcBorders>
              <w:top w:val="nil"/>
              <w:left w:val="nil"/>
              <w:bottom w:val="nil"/>
              <w:right w:val="nil"/>
            </w:tcBorders>
            <w:shd w:val="clear" w:color="auto" w:fill="auto"/>
            <w:vAlign w:val="center"/>
            <w:hideMark/>
          </w:tcPr>
          <w:p w14:paraId="746DEB16" w14:textId="77777777" w:rsidR="00565635" w:rsidRPr="00565635" w:rsidRDefault="00565635" w:rsidP="00565635">
            <w:r w:rsidRPr="00565635">
              <w:rPr>
                <w:rtl/>
              </w:rPr>
              <w:t xml:space="preserve">פתיחה למכתב תשובה שנשלח </w:t>
            </w:r>
            <w:proofErr w:type="spellStart"/>
            <w:r w:rsidRPr="00565635">
              <w:rPr>
                <w:rtl/>
              </w:rPr>
              <w:t>לרידב”ז</w:t>
            </w:r>
            <w:proofErr w:type="spellEnd"/>
            <w:r w:rsidRPr="00565635">
              <w:rPr>
                <w:rtl/>
              </w:rPr>
              <w:t>, מגדולי המתנגדים להיתר המכירה בשנת שמיטה</w:t>
            </w:r>
            <w:r w:rsidRPr="00565635">
              <w:t>.</w:t>
            </w:r>
          </w:p>
        </w:tc>
      </w:tr>
      <w:tr w:rsidR="00565635" w:rsidRPr="00565635" w14:paraId="40022C40" w14:textId="77777777" w:rsidTr="00565635">
        <w:tc>
          <w:tcPr>
            <w:tcW w:w="0" w:type="auto"/>
            <w:tcBorders>
              <w:top w:val="nil"/>
              <w:left w:val="nil"/>
              <w:bottom w:val="nil"/>
              <w:right w:val="nil"/>
            </w:tcBorders>
            <w:shd w:val="clear" w:color="auto" w:fill="auto"/>
            <w:vAlign w:val="center"/>
            <w:hideMark/>
          </w:tcPr>
          <w:p w14:paraId="41032FB0" w14:textId="77777777" w:rsidR="00565635" w:rsidRPr="00565635" w:rsidRDefault="00565635" w:rsidP="00565635">
            <w:r w:rsidRPr="00565635">
              <w:t>7-14</w:t>
            </w:r>
          </w:p>
        </w:tc>
        <w:tc>
          <w:tcPr>
            <w:tcW w:w="0" w:type="auto"/>
            <w:tcBorders>
              <w:top w:val="nil"/>
              <w:left w:val="nil"/>
              <w:bottom w:val="nil"/>
              <w:right w:val="nil"/>
            </w:tcBorders>
            <w:shd w:val="clear" w:color="auto" w:fill="auto"/>
            <w:vAlign w:val="center"/>
            <w:hideMark/>
          </w:tcPr>
          <w:p w14:paraId="324945A9" w14:textId="77777777" w:rsidR="00565635" w:rsidRPr="00565635" w:rsidRDefault="00565635" w:rsidP="00565635">
            <w:r w:rsidRPr="00565635">
              <w:rPr>
                <w:rtl/>
              </w:rPr>
              <w:t>לגבי מה ששאל אותי כבודו מדוע אני מקרב (כלומר בקשר טוב) עם כולם, כולל פושעי ישראל, כדי להחזירם בתשובה, ושכתבתי לו על דרך הרמז שמי שעוסק בפנימיות התורה (חכמת הקבלה) חובה עליו להעלות את הנפולים ולקרב את הרחוקים, וזה נקרא בפי המקובלים “העלאת ניצוצות”. ולכאורה ראה בזה סתירה עם ברכת למינים ולמלשינים, וביקש שאענה על דרך הפשט</w:t>
            </w:r>
            <w:r w:rsidRPr="00565635">
              <w:t>.</w:t>
            </w:r>
          </w:p>
        </w:tc>
      </w:tr>
      <w:tr w:rsidR="00565635" w:rsidRPr="00565635" w14:paraId="6E0CE901" w14:textId="77777777" w:rsidTr="00565635">
        <w:tc>
          <w:tcPr>
            <w:tcW w:w="0" w:type="auto"/>
            <w:tcBorders>
              <w:top w:val="nil"/>
              <w:left w:val="nil"/>
              <w:bottom w:val="nil"/>
              <w:right w:val="nil"/>
            </w:tcBorders>
            <w:shd w:val="clear" w:color="auto" w:fill="auto"/>
            <w:vAlign w:val="center"/>
            <w:hideMark/>
          </w:tcPr>
          <w:p w14:paraId="2E687482" w14:textId="77777777" w:rsidR="00565635" w:rsidRPr="00565635" w:rsidRDefault="00565635" w:rsidP="00565635">
            <w:r w:rsidRPr="00565635">
              <w:t>15-24</w:t>
            </w:r>
          </w:p>
        </w:tc>
        <w:tc>
          <w:tcPr>
            <w:tcW w:w="0" w:type="auto"/>
            <w:tcBorders>
              <w:top w:val="nil"/>
              <w:left w:val="nil"/>
              <w:bottom w:val="nil"/>
              <w:right w:val="nil"/>
            </w:tcBorders>
            <w:shd w:val="clear" w:color="auto" w:fill="auto"/>
            <w:vAlign w:val="center"/>
            <w:hideMark/>
          </w:tcPr>
          <w:p w14:paraId="784A7039" w14:textId="77777777" w:rsidR="00565635" w:rsidRPr="00565635" w:rsidRDefault="00565635" w:rsidP="00565635">
            <w:r w:rsidRPr="00565635">
              <w:rPr>
                <w:rtl/>
              </w:rPr>
              <w:t>יש שני דברים שבונים יחד את קדושת ישראל ואת הקשר של הקב”ה איתם</w:t>
            </w:r>
            <w:r w:rsidRPr="00565635">
              <w:t>:</w:t>
            </w:r>
          </w:p>
          <w:p w14:paraId="5AC0221B" w14:textId="77777777" w:rsidR="00565635" w:rsidRPr="00565635" w:rsidRDefault="00565635" w:rsidP="00565635">
            <w:pPr>
              <w:numPr>
                <w:ilvl w:val="0"/>
                <w:numId w:val="1"/>
              </w:numPr>
            </w:pPr>
            <w:r w:rsidRPr="00565635">
              <w:rPr>
                <w:rtl/>
              </w:rPr>
              <w:t xml:space="preserve">הסגולה – </w:t>
            </w:r>
            <w:proofErr w:type="spellStart"/>
            <w:r w:rsidRPr="00565635">
              <w:rPr>
                <w:rtl/>
              </w:rPr>
              <w:t>הכח</w:t>
            </w:r>
            <w:proofErr w:type="spellEnd"/>
            <w:r w:rsidRPr="00565635">
              <w:rPr>
                <w:rtl/>
              </w:rPr>
              <w:t xml:space="preserve"> הפנימי הקדוש הנמצא בטבע איש הישראלי, שהינו </w:t>
            </w:r>
            <w:proofErr w:type="spellStart"/>
            <w:r w:rsidRPr="00565635">
              <w:rPr>
                <w:rtl/>
              </w:rPr>
              <w:t>כח</w:t>
            </w:r>
            <w:proofErr w:type="spellEnd"/>
            <w:r w:rsidRPr="00565635">
              <w:rPr>
                <w:rtl/>
              </w:rPr>
              <w:t xml:space="preserve"> שאינו תלוי בכלום חוץ מרצון ה’, ולא יכול להשתנות כלל</w:t>
            </w:r>
            <w:r w:rsidRPr="00565635">
              <w:t>.</w:t>
            </w:r>
          </w:p>
          <w:p w14:paraId="17E95920" w14:textId="77777777" w:rsidR="00565635" w:rsidRPr="00565635" w:rsidRDefault="00565635" w:rsidP="00565635">
            <w:pPr>
              <w:numPr>
                <w:ilvl w:val="0"/>
                <w:numId w:val="1"/>
              </w:numPr>
            </w:pPr>
            <w:r w:rsidRPr="00565635">
              <w:rPr>
                <w:rtl/>
              </w:rPr>
              <w:t xml:space="preserve">הבחירה – המעשים הטובים ולימוד התורה שהיהודי בוחר לעשות אותם </w:t>
            </w:r>
            <w:proofErr w:type="spellStart"/>
            <w:r w:rsidRPr="00565635">
              <w:rPr>
                <w:rtl/>
              </w:rPr>
              <w:t>בכח</w:t>
            </w:r>
            <w:proofErr w:type="spellEnd"/>
            <w:r w:rsidRPr="00565635">
              <w:rPr>
                <w:rtl/>
              </w:rPr>
              <w:t xml:space="preserve"> בחירתו המודעת, וזה תלוי ברצונו בלבד</w:t>
            </w:r>
            <w:r w:rsidRPr="00565635">
              <w:t>.</w:t>
            </w:r>
          </w:p>
        </w:tc>
      </w:tr>
      <w:tr w:rsidR="00565635" w:rsidRPr="00565635" w14:paraId="23BDF88E" w14:textId="77777777" w:rsidTr="00565635">
        <w:tc>
          <w:tcPr>
            <w:tcW w:w="0" w:type="auto"/>
            <w:tcBorders>
              <w:top w:val="nil"/>
              <w:left w:val="nil"/>
              <w:bottom w:val="nil"/>
              <w:right w:val="nil"/>
            </w:tcBorders>
            <w:shd w:val="clear" w:color="auto" w:fill="auto"/>
            <w:vAlign w:val="center"/>
            <w:hideMark/>
          </w:tcPr>
          <w:p w14:paraId="0053B70A" w14:textId="77777777" w:rsidR="00565635" w:rsidRPr="00565635" w:rsidRDefault="00565635" w:rsidP="00565635">
            <w:r w:rsidRPr="00565635">
              <w:t>25-29</w:t>
            </w:r>
          </w:p>
        </w:tc>
        <w:tc>
          <w:tcPr>
            <w:tcW w:w="0" w:type="auto"/>
            <w:tcBorders>
              <w:top w:val="nil"/>
              <w:left w:val="nil"/>
              <w:bottom w:val="nil"/>
              <w:right w:val="nil"/>
            </w:tcBorders>
            <w:shd w:val="clear" w:color="auto" w:fill="auto"/>
            <w:vAlign w:val="center"/>
            <w:hideMark/>
          </w:tcPr>
          <w:p w14:paraId="26A1AEDC" w14:textId="77777777" w:rsidR="00565635" w:rsidRPr="00565635" w:rsidRDefault="00565635" w:rsidP="00565635">
            <w:r w:rsidRPr="00565635">
              <w:rPr>
                <w:rtl/>
              </w:rPr>
              <w:t xml:space="preserve">החלק של הסגולה קדוש וגדול הרבה יותר מהחלק של הבחירה! ואולם, ה’ קבע שהסגולה תתגלה רק במידה שהבחירה מתאפשרת לה להתגלות, ולכן באמת </w:t>
            </w:r>
            <w:proofErr w:type="spellStart"/>
            <w:r w:rsidRPr="00565635">
              <w:rPr>
                <w:rtl/>
              </w:rPr>
              <w:t>הכל</w:t>
            </w:r>
            <w:proofErr w:type="spellEnd"/>
            <w:r w:rsidRPr="00565635">
              <w:rPr>
                <w:rtl/>
              </w:rPr>
              <w:t xml:space="preserve"> תלוי במעשה הטוב, בלימוד התורה ובקדושת האמונה</w:t>
            </w:r>
            <w:r w:rsidRPr="00565635">
              <w:t>.</w:t>
            </w:r>
          </w:p>
        </w:tc>
      </w:tr>
      <w:tr w:rsidR="00565635" w:rsidRPr="00565635" w14:paraId="1FF88C42" w14:textId="77777777" w:rsidTr="00565635">
        <w:tc>
          <w:tcPr>
            <w:tcW w:w="0" w:type="auto"/>
            <w:tcBorders>
              <w:top w:val="nil"/>
              <w:left w:val="nil"/>
              <w:bottom w:val="nil"/>
              <w:right w:val="nil"/>
            </w:tcBorders>
            <w:shd w:val="clear" w:color="auto" w:fill="auto"/>
            <w:vAlign w:val="center"/>
            <w:hideMark/>
          </w:tcPr>
          <w:p w14:paraId="49F51E27" w14:textId="77777777" w:rsidR="00565635" w:rsidRPr="00565635" w:rsidRDefault="00565635" w:rsidP="00565635">
            <w:r w:rsidRPr="00565635">
              <w:t>35-37</w:t>
            </w:r>
          </w:p>
        </w:tc>
        <w:tc>
          <w:tcPr>
            <w:tcW w:w="0" w:type="auto"/>
            <w:tcBorders>
              <w:top w:val="nil"/>
              <w:left w:val="nil"/>
              <w:bottom w:val="nil"/>
              <w:right w:val="nil"/>
            </w:tcBorders>
            <w:shd w:val="clear" w:color="auto" w:fill="auto"/>
            <w:vAlign w:val="center"/>
            <w:hideMark/>
          </w:tcPr>
          <w:p w14:paraId="5B928B58" w14:textId="77777777" w:rsidR="00565635" w:rsidRPr="00565635" w:rsidRDefault="00565635" w:rsidP="00565635">
            <w:r w:rsidRPr="00565635">
              <w:rPr>
                <w:rtl/>
              </w:rPr>
              <w:t xml:space="preserve">לפעמים צד הבחירה בא לידי ביטוי בהיסטוריה, ולפעמים צד הסגולה. </w:t>
            </w:r>
            <w:proofErr w:type="spellStart"/>
            <w:r w:rsidRPr="00565635">
              <w:rPr>
                <w:rtl/>
              </w:rPr>
              <w:t>ב”עקבתא</w:t>
            </w:r>
            <w:proofErr w:type="spellEnd"/>
            <w:r w:rsidRPr="00565635">
              <w:rPr>
                <w:rtl/>
              </w:rPr>
              <w:t xml:space="preserve"> </w:t>
            </w:r>
            <w:proofErr w:type="spellStart"/>
            <w:r w:rsidRPr="00565635">
              <w:rPr>
                <w:rtl/>
              </w:rPr>
              <w:t>דמשיחא</w:t>
            </w:r>
            <w:proofErr w:type="spellEnd"/>
            <w:r w:rsidRPr="00565635">
              <w:rPr>
                <w:rtl/>
              </w:rPr>
              <w:t xml:space="preserve">” (התקופה המגיעה לפני ימות המשיח), מתגבר ביותר </w:t>
            </w:r>
            <w:proofErr w:type="spellStart"/>
            <w:r w:rsidRPr="00565635">
              <w:rPr>
                <w:rtl/>
              </w:rPr>
              <w:t>כח</w:t>
            </w:r>
            <w:proofErr w:type="spellEnd"/>
            <w:r w:rsidRPr="00565635">
              <w:rPr>
                <w:rtl/>
              </w:rPr>
              <w:t xml:space="preserve"> הסגולה, שמשמעותו גאולת ישראל לא בגלל התשובה או מעשיהם הטובים, אלא </w:t>
            </w:r>
            <w:proofErr w:type="spellStart"/>
            <w:r w:rsidRPr="00565635">
              <w:rPr>
                <w:rtl/>
              </w:rPr>
              <w:t>מכח</w:t>
            </w:r>
            <w:proofErr w:type="spellEnd"/>
            <w:r w:rsidRPr="00565635">
              <w:rPr>
                <w:rtl/>
              </w:rPr>
              <w:t xml:space="preserve"> ברית אבות, כמו שכתוב בתפילה “זוכר חסדי אבות ומביא גואל לבני בניהם למען שמו באהבה</w:t>
            </w:r>
            <w:r w:rsidRPr="00565635">
              <w:t>”.</w:t>
            </w:r>
          </w:p>
        </w:tc>
      </w:tr>
      <w:tr w:rsidR="00565635" w:rsidRPr="00565635" w14:paraId="538DFBAB" w14:textId="77777777" w:rsidTr="00565635">
        <w:tc>
          <w:tcPr>
            <w:tcW w:w="0" w:type="auto"/>
            <w:tcBorders>
              <w:top w:val="nil"/>
              <w:left w:val="nil"/>
              <w:bottom w:val="nil"/>
              <w:right w:val="nil"/>
            </w:tcBorders>
            <w:shd w:val="clear" w:color="auto" w:fill="auto"/>
            <w:vAlign w:val="center"/>
            <w:hideMark/>
          </w:tcPr>
          <w:p w14:paraId="1D2978ED" w14:textId="77777777" w:rsidR="00565635" w:rsidRPr="00565635" w:rsidRDefault="00565635" w:rsidP="00565635">
            <w:r w:rsidRPr="00565635">
              <w:t>38-</w:t>
            </w:r>
          </w:p>
          <w:p w14:paraId="5B10D15F" w14:textId="77777777" w:rsidR="00565635" w:rsidRPr="00565635" w:rsidRDefault="00565635" w:rsidP="00565635">
            <w:r w:rsidRPr="00565635">
              <w:rPr>
                <w:rtl/>
              </w:rPr>
              <w:t>עמ’ 82, ש’ 6</w:t>
            </w:r>
          </w:p>
        </w:tc>
        <w:tc>
          <w:tcPr>
            <w:tcW w:w="0" w:type="auto"/>
            <w:tcBorders>
              <w:top w:val="nil"/>
              <w:left w:val="nil"/>
              <w:bottom w:val="nil"/>
              <w:right w:val="nil"/>
            </w:tcBorders>
            <w:shd w:val="clear" w:color="auto" w:fill="auto"/>
            <w:vAlign w:val="center"/>
            <w:hideMark/>
          </w:tcPr>
          <w:p w14:paraId="2F3D08F9" w14:textId="77777777" w:rsidR="00565635" w:rsidRPr="00565635" w:rsidRDefault="00565635" w:rsidP="00565635">
            <w:r w:rsidRPr="00565635">
              <w:rPr>
                <w:rtl/>
              </w:rPr>
              <w:t xml:space="preserve">אמנם, לפעמים יכול החושך להתגבר כל כך עד שכח הסגולה כן נעלם. אבל זה קורה רק במי שהגיע להיות ממש שונא ישראל ח”ו, ומבקש רעתם. עליהם (רק על מי שאיבד את </w:t>
            </w:r>
            <w:proofErr w:type="spellStart"/>
            <w:r w:rsidRPr="00565635">
              <w:rPr>
                <w:rtl/>
              </w:rPr>
              <w:t>כח</w:t>
            </w:r>
            <w:proofErr w:type="spellEnd"/>
            <w:r w:rsidRPr="00565635">
              <w:rPr>
                <w:rtl/>
              </w:rPr>
              <w:t xml:space="preserve"> הסגולה) נתקנה ברכת למינים ולמלשינים</w:t>
            </w:r>
            <w:r w:rsidRPr="00565635">
              <w:t>.</w:t>
            </w:r>
          </w:p>
        </w:tc>
      </w:tr>
      <w:tr w:rsidR="00565635" w:rsidRPr="00565635" w14:paraId="36DC59DA" w14:textId="77777777" w:rsidTr="00565635">
        <w:tc>
          <w:tcPr>
            <w:tcW w:w="0" w:type="auto"/>
            <w:tcBorders>
              <w:top w:val="nil"/>
              <w:left w:val="nil"/>
              <w:bottom w:val="nil"/>
              <w:right w:val="nil"/>
            </w:tcBorders>
            <w:shd w:val="clear" w:color="auto" w:fill="auto"/>
            <w:vAlign w:val="center"/>
            <w:hideMark/>
          </w:tcPr>
          <w:p w14:paraId="08FCA657" w14:textId="77777777" w:rsidR="00565635" w:rsidRPr="00565635" w:rsidRDefault="00565635" w:rsidP="00565635">
            <w:r w:rsidRPr="00565635">
              <w:t>6-11</w:t>
            </w:r>
          </w:p>
        </w:tc>
        <w:tc>
          <w:tcPr>
            <w:tcW w:w="0" w:type="auto"/>
            <w:tcBorders>
              <w:top w:val="nil"/>
              <w:left w:val="nil"/>
              <w:bottom w:val="nil"/>
              <w:right w:val="nil"/>
            </w:tcBorders>
            <w:shd w:val="clear" w:color="auto" w:fill="auto"/>
            <w:vAlign w:val="center"/>
            <w:hideMark/>
          </w:tcPr>
          <w:p w14:paraId="5F861B90" w14:textId="77777777" w:rsidR="00565635" w:rsidRPr="00565635" w:rsidRDefault="00565635" w:rsidP="00565635">
            <w:r w:rsidRPr="00565635">
              <w:rPr>
                <w:rtl/>
              </w:rPr>
              <w:t xml:space="preserve">בדור שלנו, אומר הרב קוק, </w:t>
            </w:r>
            <w:proofErr w:type="spellStart"/>
            <w:r w:rsidRPr="00565635">
              <w:rPr>
                <w:rtl/>
              </w:rPr>
              <w:t>נתרבו</w:t>
            </w:r>
            <w:proofErr w:type="spellEnd"/>
            <w:r w:rsidRPr="00565635">
              <w:rPr>
                <w:rtl/>
              </w:rPr>
              <w:t xml:space="preserve"> מאוד נשמות שלמרות שמצד הבחירה שבהם הן נמוכות מאוד ושפלות, הרי שעדין אור הסגולה מאיר בהם, וזה בא לידי ביטוי בכך שהם אוהבים את כלל ישראל וחושקים בארץ ישראל, ויש בהם כמה מידות טובות שמגיעות מצד סגולת ישראל</w:t>
            </w:r>
            <w:r w:rsidRPr="00565635">
              <w:t>.</w:t>
            </w:r>
          </w:p>
        </w:tc>
      </w:tr>
      <w:tr w:rsidR="00565635" w:rsidRPr="00565635" w14:paraId="2291E306" w14:textId="77777777" w:rsidTr="00565635">
        <w:tc>
          <w:tcPr>
            <w:tcW w:w="0" w:type="auto"/>
            <w:tcBorders>
              <w:top w:val="nil"/>
              <w:left w:val="nil"/>
              <w:bottom w:val="nil"/>
              <w:right w:val="nil"/>
            </w:tcBorders>
            <w:shd w:val="clear" w:color="auto" w:fill="auto"/>
            <w:vAlign w:val="center"/>
            <w:hideMark/>
          </w:tcPr>
          <w:p w14:paraId="3E6FC14F" w14:textId="77777777" w:rsidR="00565635" w:rsidRPr="00565635" w:rsidRDefault="00565635" w:rsidP="00565635">
            <w:r w:rsidRPr="00565635">
              <w:t>12-16</w:t>
            </w:r>
          </w:p>
        </w:tc>
        <w:tc>
          <w:tcPr>
            <w:tcW w:w="0" w:type="auto"/>
            <w:tcBorders>
              <w:top w:val="nil"/>
              <w:left w:val="nil"/>
              <w:bottom w:val="nil"/>
              <w:right w:val="nil"/>
            </w:tcBorders>
            <w:shd w:val="clear" w:color="auto" w:fill="auto"/>
            <w:vAlign w:val="center"/>
            <w:hideMark/>
          </w:tcPr>
          <w:p w14:paraId="6057C79E" w14:textId="77777777" w:rsidR="00565635" w:rsidRPr="00565635" w:rsidRDefault="00565635" w:rsidP="00565635">
            <w:r w:rsidRPr="00565635">
              <w:rPr>
                <w:rtl/>
              </w:rPr>
              <w:t>אנשים כאלה, מי שאין לו את היכולת להבחין ולהבדיל בין צד הסגולה הטהור שבהם, לבין צד הבחירה שהוא מקולקל מאוד, אסור לו לנסות לקרב אותם, כי הוא עלול ללמוד ממעשיהם הרעים, לכן ה’ שם בליבו מחשבות של שנאה והתרחקות, כדי שלא יתקלקל מהם</w:t>
            </w:r>
            <w:r w:rsidRPr="00565635">
              <w:t>.</w:t>
            </w:r>
          </w:p>
        </w:tc>
      </w:tr>
      <w:tr w:rsidR="00565635" w:rsidRPr="00565635" w14:paraId="76532C35" w14:textId="77777777" w:rsidTr="00565635">
        <w:tc>
          <w:tcPr>
            <w:tcW w:w="0" w:type="auto"/>
            <w:tcBorders>
              <w:top w:val="nil"/>
              <w:left w:val="nil"/>
              <w:bottom w:val="nil"/>
              <w:right w:val="nil"/>
            </w:tcBorders>
            <w:shd w:val="clear" w:color="auto" w:fill="auto"/>
            <w:vAlign w:val="center"/>
            <w:hideMark/>
          </w:tcPr>
          <w:p w14:paraId="51BF22DD" w14:textId="77777777" w:rsidR="00565635" w:rsidRPr="00565635" w:rsidRDefault="00565635" w:rsidP="00565635">
            <w:r w:rsidRPr="00565635">
              <w:t>16-26</w:t>
            </w:r>
          </w:p>
        </w:tc>
        <w:tc>
          <w:tcPr>
            <w:tcW w:w="0" w:type="auto"/>
            <w:tcBorders>
              <w:top w:val="nil"/>
              <w:left w:val="nil"/>
              <w:bottom w:val="nil"/>
              <w:right w:val="nil"/>
            </w:tcBorders>
            <w:shd w:val="clear" w:color="auto" w:fill="auto"/>
            <w:vAlign w:val="center"/>
            <w:hideMark/>
          </w:tcPr>
          <w:p w14:paraId="2CA94F47" w14:textId="77777777" w:rsidR="00565635" w:rsidRPr="00565635" w:rsidRDefault="00565635" w:rsidP="00565635">
            <w:r w:rsidRPr="00565635">
              <w:rPr>
                <w:rtl/>
              </w:rPr>
              <w:t>אבל תלמידי חכמים שעוסקים בפנימיות התורה, שיש להם הרבה יראה עליונה – יראת הרוממות, ורק מעט יראה נמוכה (יראת העונש), שהם יודעים להבדיל בין צד הסגולה הקדוש לצד הבחירה השפל, הרי שהם מחויבים לקרב את פושעי ישראל האלה, על מנת לחזק את הצד הטוב שבהם ולהאיר אותו, עד שיתגבר לגמרי על הבחירה ברע ויכניע  אותו</w:t>
            </w:r>
            <w:r w:rsidRPr="00565635">
              <w:t>.</w:t>
            </w:r>
          </w:p>
        </w:tc>
      </w:tr>
      <w:tr w:rsidR="00565635" w:rsidRPr="00565635" w14:paraId="0EBE22C0" w14:textId="77777777" w:rsidTr="00565635">
        <w:tc>
          <w:tcPr>
            <w:tcW w:w="0" w:type="auto"/>
            <w:tcBorders>
              <w:top w:val="nil"/>
              <w:left w:val="nil"/>
              <w:bottom w:val="nil"/>
              <w:right w:val="nil"/>
            </w:tcBorders>
            <w:shd w:val="clear" w:color="auto" w:fill="auto"/>
            <w:vAlign w:val="center"/>
            <w:hideMark/>
          </w:tcPr>
          <w:p w14:paraId="6FD3F027" w14:textId="77777777" w:rsidR="00565635" w:rsidRPr="00565635" w:rsidRDefault="00565635" w:rsidP="00565635">
            <w:r w:rsidRPr="00565635">
              <w:t>28-34</w:t>
            </w:r>
          </w:p>
        </w:tc>
        <w:tc>
          <w:tcPr>
            <w:tcW w:w="0" w:type="auto"/>
            <w:tcBorders>
              <w:top w:val="nil"/>
              <w:left w:val="nil"/>
              <w:bottom w:val="nil"/>
              <w:right w:val="nil"/>
            </w:tcBorders>
            <w:shd w:val="clear" w:color="auto" w:fill="auto"/>
            <w:vAlign w:val="center"/>
            <w:hideMark/>
          </w:tcPr>
          <w:p w14:paraId="30B0EE99" w14:textId="77777777" w:rsidR="00565635" w:rsidRPr="00565635" w:rsidRDefault="00565635" w:rsidP="00565635">
            <w:r w:rsidRPr="00565635">
              <w:rPr>
                <w:rtl/>
              </w:rPr>
              <w:t xml:space="preserve">פעולה כזאת של חכמים כאלה, אינה יורדת לטמיון, אלא תהיה לה בהכרח השפעה. לפעמים רואים שהם ממש היטיבו את מעשיהם, לפעמים הרעיון נכנס וניתן לדעת שלא יצאו </w:t>
            </w:r>
            <w:r w:rsidRPr="00565635">
              <w:rPr>
                <w:rtl/>
              </w:rPr>
              <w:lastRenderedPageBreak/>
              <w:t xml:space="preserve">מהעולם ללא תשובה, ולפעמים זה עובר לדור הבא שחוזר בתושבה ומתקן גם את נפש האב כדין “ברא </w:t>
            </w:r>
            <w:proofErr w:type="spellStart"/>
            <w:r w:rsidRPr="00565635">
              <w:rPr>
                <w:rtl/>
              </w:rPr>
              <w:t>מזכא</w:t>
            </w:r>
            <w:proofErr w:type="spellEnd"/>
            <w:r w:rsidRPr="00565635">
              <w:rPr>
                <w:rtl/>
              </w:rPr>
              <w:t xml:space="preserve"> אבא” (הבן מזכה את האב)</w:t>
            </w:r>
            <w:r w:rsidRPr="00565635">
              <w:t>.</w:t>
            </w:r>
          </w:p>
        </w:tc>
      </w:tr>
      <w:tr w:rsidR="00565635" w:rsidRPr="00565635" w14:paraId="59C54686" w14:textId="77777777" w:rsidTr="00565635">
        <w:tc>
          <w:tcPr>
            <w:tcW w:w="0" w:type="auto"/>
            <w:tcBorders>
              <w:top w:val="nil"/>
              <w:left w:val="nil"/>
              <w:bottom w:val="nil"/>
              <w:right w:val="nil"/>
            </w:tcBorders>
            <w:shd w:val="clear" w:color="auto" w:fill="auto"/>
            <w:vAlign w:val="center"/>
            <w:hideMark/>
          </w:tcPr>
          <w:p w14:paraId="2F47D7F3" w14:textId="77777777" w:rsidR="00565635" w:rsidRPr="00565635" w:rsidRDefault="00565635" w:rsidP="00565635">
            <w:r w:rsidRPr="00565635">
              <w:lastRenderedPageBreak/>
              <w:t>35-37</w:t>
            </w:r>
          </w:p>
        </w:tc>
        <w:tc>
          <w:tcPr>
            <w:tcW w:w="0" w:type="auto"/>
            <w:tcBorders>
              <w:top w:val="nil"/>
              <w:left w:val="nil"/>
              <w:bottom w:val="nil"/>
              <w:right w:val="nil"/>
            </w:tcBorders>
            <w:shd w:val="clear" w:color="auto" w:fill="auto"/>
            <w:vAlign w:val="center"/>
            <w:hideMark/>
          </w:tcPr>
          <w:p w14:paraId="72344198" w14:textId="77777777" w:rsidR="00565635" w:rsidRPr="00565635" w:rsidRDefault="00565635" w:rsidP="00565635">
            <w:r w:rsidRPr="00565635">
              <w:rPr>
                <w:rtl/>
              </w:rPr>
              <w:t>וה’ יודע שלא את כל הפושעים אני מקרב! רק את אלה שאני מרגיש שכח הסגולה גדול וחזק בפנימיותם. (וניתן להאריך הרבה בשאלה כיצד לדעת זאת)</w:t>
            </w:r>
            <w:r w:rsidRPr="00565635">
              <w:t>.</w:t>
            </w:r>
          </w:p>
        </w:tc>
      </w:tr>
      <w:tr w:rsidR="00565635" w:rsidRPr="00565635" w14:paraId="7E8F90CE" w14:textId="77777777" w:rsidTr="00565635">
        <w:tc>
          <w:tcPr>
            <w:tcW w:w="0" w:type="auto"/>
            <w:tcBorders>
              <w:top w:val="nil"/>
              <w:left w:val="nil"/>
              <w:bottom w:val="nil"/>
              <w:right w:val="nil"/>
            </w:tcBorders>
            <w:shd w:val="clear" w:color="auto" w:fill="auto"/>
            <w:vAlign w:val="center"/>
            <w:hideMark/>
          </w:tcPr>
          <w:p w14:paraId="002F6883" w14:textId="77777777" w:rsidR="00565635" w:rsidRPr="00565635" w:rsidRDefault="00565635" w:rsidP="00565635">
            <w:r w:rsidRPr="00565635">
              <w:t>39-41</w:t>
            </w:r>
          </w:p>
        </w:tc>
        <w:tc>
          <w:tcPr>
            <w:tcW w:w="0" w:type="auto"/>
            <w:tcBorders>
              <w:top w:val="nil"/>
              <w:left w:val="nil"/>
              <w:bottom w:val="nil"/>
              <w:right w:val="nil"/>
            </w:tcBorders>
            <w:shd w:val="clear" w:color="auto" w:fill="auto"/>
            <w:vAlign w:val="center"/>
            <w:hideMark/>
          </w:tcPr>
          <w:p w14:paraId="35C9174C" w14:textId="77777777" w:rsidR="00565635" w:rsidRPr="00565635" w:rsidRDefault="00565635" w:rsidP="00565635">
            <w:r w:rsidRPr="00565635">
              <w:rPr>
                <w:rtl/>
              </w:rPr>
              <w:t xml:space="preserve">ועל אלה שאיבדו את הסגולה לגמרי כבר נאמר “הלא </w:t>
            </w:r>
            <w:proofErr w:type="spellStart"/>
            <w:r w:rsidRPr="00565635">
              <w:rPr>
                <w:rtl/>
              </w:rPr>
              <w:t>משנאיך</w:t>
            </w:r>
            <w:proofErr w:type="spellEnd"/>
            <w:r w:rsidRPr="00565635">
              <w:rPr>
                <w:rtl/>
              </w:rPr>
              <w:t xml:space="preserve"> ה’ אשנא”, ובדרך כלל אלה היו המינים והכופרים</w:t>
            </w:r>
            <w:r w:rsidRPr="00565635">
              <w:t>.</w:t>
            </w:r>
          </w:p>
        </w:tc>
      </w:tr>
      <w:tr w:rsidR="00565635" w:rsidRPr="00565635" w14:paraId="1EEC60E1" w14:textId="77777777" w:rsidTr="00565635">
        <w:tc>
          <w:tcPr>
            <w:tcW w:w="0" w:type="auto"/>
            <w:tcBorders>
              <w:top w:val="nil"/>
              <w:left w:val="nil"/>
              <w:bottom w:val="nil"/>
              <w:right w:val="nil"/>
            </w:tcBorders>
            <w:shd w:val="clear" w:color="auto" w:fill="auto"/>
            <w:vAlign w:val="center"/>
            <w:hideMark/>
          </w:tcPr>
          <w:p w14:paraId="64B32106" w14:textId="77777777" w:rsidR="00565635" w:rsidRPr="00565635" w:rsidRDefault="00565635" w:rsidP="00565635">
            <w:r w:rsidRPr="00565635">
              <w:t xml:space="preserve">41- </w:t>
            </w:r>
            <w:r w:rsidRPr="00565635">
              <w:rPr>
                <w:rtl/>
              </w:rPr>
              <w:t>עמ’ 83, ש’ 12</w:t>
            </w:r>
          </w:p>
        </w:tc>
        <w:tc>
          <w:tcPr>
            <w:tcW w:w="0" w:type="auto"/>
            <w:tcBorders>
              <w:top w:val="nil"/>
              <w:left w:val="nil"/>
              <w:bottom w:val="nil"/>
              <w:right w:val="nil"/>
            </w:tcBorders>
            <w:shd w:val="clear" w:color="auto" w:fill="auto"/>
            <w:vAlign w:val="center"/>
            <w:hideMark/>
          </w:tcPr>
          <w:p w14:paraId="4706DC7D" w14:textId="77777777" w:rsidR="00565635" w:rsidRPr="00565635" w:rsidRDefault="00565635" w:rsidP="00565635">
            <w:r w:rsidRPr="00565635">
              <w:rPr>
                <w:rtl/>
              </w:rPr>
              <w:t xml:space="preserve">אבל הדור שלנו, דור עקבתא </w:t>
            </w:r>
            <w:proofErr w:type="spellStart"/>
            <w:r w:rsidRPr="00565635">
              <w:rPr>
                <w:rtl/>
              </w:rPr>
              <w:t>דמשיחא</w:t>
            </w:r>
            <w:proofErr w:type="spellEnd"/>
            <w:r w:rsidRPr="00565635">
              <w:rPr>
                <w:rtl/>
              </w:rPr>
              <w:t>, הם יוצאים מן הכלל, ועליהם נאמר בזוהר שהם טובים מבפנים ורעים מבחוץ, ועל המשיח נאמר שהוא “עני ורוכב על החמור”. החמור מסמל את הטומאה, כי אין לו אפילו סימן טהרה אחד, אבל זה רק בחיצוניות. בפנימיות יש בו קדושה, והעובדה שיש עליו מצוות פטר רחם של קדושת הבכורה, שזה עניין גדול מאוד</w:t>
            </w:r>
            <w:r w:rsidRPr="00565635">
              <w:t>.</w:t>
            </w:r>
          </w:p>
          <w:p w14:paraId="6D45842B" w14:textId="77777777" w:rsidR="00565635" w:rsidRPr="00565635" w:rsidRDefault="00565635" w:rsidP="00565635">
            <w:r w:rsidRPr="00565635">
              <w:rPr>
                <w:rtl/>
              </w:rPr>
              <w:t xml:space="preserve">ובאותו אופן הנשמות של דור עקבתא </w:t>
            </w:r>
            <w:proofErr w:type="spellStart"/>
            <w:r w:rsidRPr="00565635">
              <w:rPr>
                <w:rtl/>
              </w:rPr>
              <w:t>דמשיחא</w:t>
            </w:r>
            <w:proofErr w:type="spellEnd"/>
            <w:r w:rsidRPr="00565635">
              <w:rPr>
                <w:rtl/>
              </w:rPr>
              <w:t xml:space="preserve">, שמבחוץ מעשיהם </w:t>
            </w:r>
            <w:proofErr w:type="spellStart"/>
            <w:r w:rsidRPr="00565635">
              <w:rPr>
                <w:rtl/>
              </w:rPr>
              <w:t>הבחיריים</w:t>
            </w:r>
            <w:proofErr w:type="spellEnd"/>
            <w:r w:rsidRPr="00565635">
              <w:rPr>
                <w:rtl/>
              </w:rPr>
              <w:t xml:space="preserve"> רעים, אבל מבפנים </w:t>
            </w:r>
            <w:proofErr w:type="spellStart"/>
            <w:r w:rsidRPr="00565635">
              <w:rPr>
                <w:rtl/>
              </w:rPr>
              <w:t>כח</w:t>
            </w:r>
            <w:proofErr w:type="spellEnd"/>
            <w:r w:rsidRPr="00565635">
              <w:rPr>
                <w:rtl/>
              </w:rPr>
              <w:t xml:space="preserve"> הסגולה הוא קדוש וטהור, ויש להם תרופה ותקווה</w:t>
            </w:r>
            <w:r w:rsidRPr="00565635">
              <w:t>.</w:t>
            </w:r>
          </w:p>
        </w:tc>
      </w:tr>
    </w:tbl>
    <w:p w14:paraId="6D4D69EF" w14:textId="77777777" w:rsidR="00565635" w:rsidRPr="00565635" w:rsidRDefault="00565635" w:rsidP="00565635">
      <w:r w:rsidRPr="00565635">
        <w:rPr>
          <w:b/>
          <w:bCs/>
          <w:rtl/>
        </w:rPr>
        <w:t>שאלות לחזרה והבנה</w:t>
      </w:r>
    </w:p>
    <w:p w14:paraId="4DE5D9A1" w14:textId="77777777" w:rsidR="00565635" w:rsidRPr="00565635" w:rsidRDefault="00565635" w:rsidP="00565635">
      <w:pPr>
        <w:numPr>
          <w:ilvl w:val="0"/>
          <w:numId w:val="2"/>
        </w:numPr>
      </w:pPr>
      <w:r w:rsidRPr="00565635">
        <w:rPr>
          <w:rtl/>
        </w:rPr>
        <w:t xml:space="preserve">הסבירו בלשונכם מהו </w:t>
      </w:r>
      <w:proofErr w:type="spellStart"/>
      <w:r w:rsidRPr="00565635">
        <w:rPr>
          <w:rtl/>
        </w:rPr>
        <w:t>כח</w:t>
      </w:r>
      <w:proofErr w:type="spellEnd"/>
      <w:r w:rsidRPr="00565635">
        <w:rPr>
          <w:rtl/>
        </w:rPr>
        <w:t xml:space="preserve"> הבחירה ומהו </w:t>
      </w:r>
      <w:proofErr w:type="spellStart"/>
      <w:r w:rsidRPr="00565635">
        <w:rPr>
          <w:rtl/>
        </w:rPr>
        <w:t>כח</w:t>
      </w:r>
      <w:proofErr w:type="spellEnd"/>
      <w:r w:rsidRPr="00565635">
        <w:rPr>
          <w:rtl/>
        </w:rPr>
        <w:t xml:space="preserve"> הסגולה</w:t>
      </w:r>
      <w:r w:rsidRPr="00565635">
        <w:t>.</w:t>
      </w:r>
    </w:p>
    <w:p w14:paraId="05DACD3C" w14:textId="77777777" w:rsidR="00565635" w:rsidRPr="00565635" w:rsidRDefault="00565635" w:rsidP="00565635">
      <w:r w:rsidRPr="00565635">
        <w:t>____________________________________________________________________________________________________________________________</w:t>
      </w:r>
    </w:p>
    <w:p w14:paraId="36001ECF" w14:textId="77777777" w:rsidR="00565635" w:rsidRPr="00565635" w:rsidRDefault="00565635" w:rsidP="00565635">
      <w:pPr>
        <w:numPr>
          <w:ilvl w:val="0"/>
          <w:numId w:val="3"/>
        </w:numPr>
      </w:pPr>
      <w:r w:rsidRPr="00565635">
        <w:rPr>
          <w:rtl/>
        </w:rPr>
        <w:t>מדוע ערך הסגולה גדול יותר מערך הבחירה</w:t>
      </w:r>
      <w:r w:rsidRPr="00565635">
        <w:t>?</w:t>
      </w:r>
    </w:p>
    <w:p w14:paraId="3DAAC4E4" w14:textId="77777777" w:rsidR="00565635" w:rsidRPr="00565635" w:rsidRDefault="00565635" w:rsidP="00565635">
      <w:r w:rsidRPr="00565635">
        <w:t>______________________________________________________________</w:t>
      </w:r>
    </w:p>
    <w:p w14:paraId="5B502290" w14:textId="77777777" w:rsidR="00565635" w:rsidRPr="00565635" w:rsidRDefault="00565635" w:rsidP="00565635">
      <w:pPr>
        <w:numPr>
          <w:ilvl w:val="0"/>
          <w:numId w:val="4"/>
        </w:numPr>
      </w:pPr>
      <w:r w:rsidRPr="00565635">
        <w:rPr>
          <w:rtl/>
        </w:rPr>
        <w:t>למי מתכוון הרב כאשר הוא אומר שיש אנשים שאסור להם לקרב את הרחוקים, ולכן יש להם מחשבות שנאה והתרחקות</w:t>
      </w:r>
      <w:r w:rsidRPr="00565635">
        <w:t>?</w:t>
      </w:r>
    </w:p>
    <w:p w14:paraId="2C4ACFF2" w14:textId="77777777" w:rsidR="00565635" w:rsidRPr="00565635" w:rsidRDefault="00565635" w:rsidP="00565635">
      <w:r w:rsidRPr="00565635">
        <w:t>______________________________________________________________</w:t>
      </w:r>
    </w:p>
    <w:p w14:paraId="4D184464" w14:textId="77777777" w:rsidR="00565635" w:rsidRPr="00565635" w:rsidRDefault="00565635" w:rsidP="00565635">
      <w:pPr>
        <w:numPr>
          <w:ilvl w:val="0"/>
          <w:numId w:val="5"/>
        </w:numPr>
      </w:pPr>
      <w:r w:rsidRPr="00565635">
        <w:rPr>
          <w:rtl/>
        </w:rPr>
        <w:t>מדריך בתנועת נוער מתוסכל מחניך שאינו מפסיק להתנהג בצורה רעה. כיצד תעודדו אותו על פי קטע זה</w:t>
      </w:r>
      <w:r w:rsidRPr="00565635">
        <w:t>?</w:t>
      </w:r>
    </w:p>
    <w:p w14:paraId="37048320" w14:textId="77777777" w:rsidR="00565635" w:rsidRPr="00565635" w:rsidRDefault="00565635" w:rsidP="00565635">
      <w:r w:rsidRPr="00565635">
        <w:t>____________________________________________________________________________________________________________________________</w:t>
      </w:r>
    </w:p>
    <w:p w14:paraId="43273173" w14:textId="77777777" w:rsidR="00565635" w:rsidRPr="00565635" w:rsidRDefault="00565635" w:rsidP="00565635">
      <w:pPr>
        <w:numPr>
          <w:ilvl w:val="0"/>
          <w:numId w:val="6"/>
        </w:numPr>
      </w:pPr>
      <w:r w:rsidRPr="00565635">
        <w:rPr>
          <w:rtl/>
        </w:rPr>
        <w:t>מדוע לדעתכם חשובה כל כך איגרת זו דווקא בדורנו</w:t>
      </w:r>
      <w:r w:rsidRPr="00565635">
        <w:t>?</w:t>
      </w:r>
    </w:p>
    <w:p w14:paraId="51A0E5EA" w14:textId="77777777" w:rsidR="00565635" w:rsidRPr="00565635" w:rsidRDefault="00565635" w:rsidP="00565635">
      <w:r w:rsidRPr="00565635">
        <w:t>____________________________________________________________________________________________________________________________</w:t>
      </w:r>
    </w:p>
    <w:p w14:paraId="24A11362" w14:textId="77777777" w:rsidR="00565635" w:rsidRPr="00565635" w:rsidRDefault="00565635" w:rsidP="00565635">
      <w:r w:rsidRPr="00565635">
        <w:t> </w:t>
      </w:r>
    </w:p>
    <w:p w14:paraId="70A8D4C8" w14:textId="77777777" w:rsidR="00565635" w:rsidRDefault="00565635"/>
    <w:sectPr w:rsidR="00565635" w:rsidSect="00BE24F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2E57"/>
    <w:multiLevelType w:val="multilevel"/>
    <w:tmpl w:val="DCFE9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90C2D"/>
    <w:multiLevelType w:val="multilevel"/>
    <w:tmpl w:val="A8CC0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80195E"/>
    <w:multiLevelType w:val="multilevel"/>
    <w:tmpl w:val="E79A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306A0"/>
    <w:multiLevelType w:val="multilevel"/>
    <w:tmpl w:val="9AE23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984C2F"/>
    <w:multiLevelType w:val="multilevel"/>
    <w:tmpl w:val="DFFC5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EC5F33"/>
    <w:multiLevelType w:val="multilevel"/>
    <w:tmpl w:val="D2524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9352974">
    <w:abstractNumId w:val="5"/>
  </w:num>
  <w:num w:numId="2" w16cid:durableId="1055204104">
    <w:abstractNumId w:val="1"/>
  </w:num>
  <w:num w:numId="3" w16cid:durableId="1084839085">
    <w:abstractNumId w:val="2"/>
  </w:num>
  <w:num w:numId="4" w16cid:durableId="884490674">
    <w:abstractNumId w:val="4"/>
  </w:num>
  <w:num w:numId="5" w16cid:durableId="77405880">
    <w:abstractNumId w:val="0"/>
  </w:num>
  <w:num w:numId="6" w16cid:durableId="1984459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35"/>
    <w:rsid w:val="00367653"/>
    <w:rsid w:val="00565635"/>
    <w:rsid w:val="00BE24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C7B13"/>
  <w15:chartTrackingRefBased/>
  <w15:docId w15:val="{FCD1EC8C-896B-4416-B1D1-E5C51389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232759">
      <w:bodyDiv w:val="1"/>
      <w:marLeft w:val="0"/>
      <w:marRight w:val="0"/>
      <w:marTop w:val="0"/>
      <w:marBottom w:val="0"/>
      <w:divBdr>
        <w:top w:val="none" w:sz="0" w:space="0" w:color="auto"/>
        <w:left w:val="none" w:sz="0" w:space="0" w:color="auto"/>
        <w:bottom w:val="none" w:sz="0" w:space="0" w:color="auto"/>
        <w:right w:val="none" w:sz="0" w:space="0" w:color="auto"/>
      </w:divBdr>
    </w:div>
    <w:div w:id="187557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3442</Characters>
  <Application>Microsoft Office Word</Application>
  <DocSecurity>0</DocSecurity>
  <Lines>28</Lines>
  <Paragraphs>8</Paragraphs>
  <ScaleCrop>false</ScaleCrop>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ישראל לוינגר</dc:creator>
  <cp:keywords/>
  <dc:description/>
  <cp:lastModifiedBy>ישראל לוינגר</cp:lastModifiedBy>
  <cp:revision>1</cp:revision>
  <dcterms:created xsi:type="dcterms:W3CDTF">2024-12-15T06:41:00Z</dcterms:created>
  <dcterms:modified xsi:type="dcterms:W3CDTF">2024-12-15T06:42:00Z</dcterms:modified>
</cp:coreProperties>
</file>