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2D011" w14:textId="77777777" w:rsidR="00000000" w:rsidRDefault="00000000">
      <w:pPr>
        <w:bidi/>
        <w:spacing w:after="240" w:line="312" w:lineRule="auto"/>
        <w:rPr>
          <w:rFonts w:ascii="Arial" w:eastAsia="Times New Roman" w:hAnsi="Arial" w:cs="Arial"/>
        </w:rPr>
      </w:pPr>
      <w:r>
        <w:rPr>
          <w:rFonts w:ascii="Arial" w:eastAsia="Times New Roman" w:hAnsi="Arial" w:cs="Arial"/>
          <w:sz w:val="20"/>
          <w:szCs w:val="20"/>
          <w:rtl/>
        </w:rPr>
        <w:t>בס"ד</w:t>
      </w:r>
    </w:p>
    <w:p w14:paraId="7E54D68B" w14:textId="77777777" w:rsidR="00000000" w:rsidRDefault="00000000">
      <w:pPr>
        <w:bidi/>
        <w:spacing w:line="312" w:lineRule="auto"/>
        <w:jc w:val="center"/>
        <w:rPr>
          <w:rFonts w:ascii="Arial" w:eastAsia="Times New Roman" w:hAnsi="Arial" w:cs="Arial"/>
          <w:rtl/>
        </w:rPr>
      </w:pPr>
      <w:r>
        <w:rPr>
          <w:rFonts w:ascii="Arial" w:eastAsia="Times New Roman" w:hAnsi="Arial" w:cs="Arial"/>
          <w:noProof/>
        </w:rPr>
        <w:drawing>
          <wp:inline distT="0" distB="0" distL="0" distR="0" wp14:anchorId="5DE5F9A8" wp14:editId="5AA77892">
            <wp:extent cx="304800" cy="304800"/>
            <wp:effectExtent l="0" t="0" r="0" b="0"/>
            <wp:docPr id="1" name="תמונה 1" descr="לב לדעת - המכללה האקדמית הרצו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ב לדעת - המכללה האקדמית הרצוג"/>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7B77F72" w14:textId="77777777" w:rsidR="00000000" w:rsidRDefault="00000000">
      <w:pPr>
        <w:bidi/>
        <w:spacing w:line="312" w:lineRule="auto"/>
        <w:rPr>
          <w:rFonts w:ascii="Arial" w:eastAsia="Times New Roman" w:hAnsi="Arial" w:cs="Arial"/>
          <w:rtl/>
        </w:rPr>
      </w:pPr>
    </w:p>
    <w:p w14:paraId="75A0F015" w14:textId="77777777" w:rsidR="00000000" w:rsidRDefault="00000000">
      <w:pPr>
        <w:pStyle w:val="1"/>
        <w:bidi/>
        <w:spacing w:line="312" w:lineRule="auto"/>
        <w:rPr>
          <w:rFonts w:ascii="Arial" w:eastAsia="Times New Roman" w:hAnsi="Arial" w:cs="Arial"/>
          <w:rtl/>
        </w:rPr>
      </w:pPr>
      <w:r>
        <w:rPr>
          <w:rFonts w:ascii="Arial" w:eastAsia="Times New Roman" w:hAnsi="Arial" w:cs="Arial"/>
          <w:rtl/>
        </w:rPr>
        <w:t>חיפוש העצמי וחיפוש האמת - אמונה וגאולה פרק ב'</w:t>
      </w:r>
    </w:p>
    <w:p w14:paraId="11D840EB" w14:textId="77777777" w:rsidR="00000000" w:rsidRDefault="00000000">
      <w:pPr>
        <w:bidi/>
        <w:spacing w:line="312" w:lineRule="auto"/>
        <w:divId w:val="821508003"/>
        <w:rPr>
          <w:rFonts w:ascii="Arial" w:eastAsia="Times New Roman" w:hAnsi="Arial" w:cs="Arial"/>
          <w:rtl/>
        </w:rPr>
      </w:pPr>
      <w:r>
        <w:rPr>
          <w:rStyle w:val="a3"/>
          <w:rFonts w:ascii="Arial" w:eastAsia="Times New Roman" w:hAnsi="Arial" w:cs="Arial"/>
          <w:rtl/>
        </w:rPr>
        <w:t xml:space="preserve">מקצוע: </w:t>
      </w:r>
      <w:r>
        <w:rPr>
          <w:rFonts w:ascii="Arial" w:eastAsia="Times New Roman" w:hAnsi="Arial" w:cs="Arial"/>
          <w:rtl/>
        </w:rPr>
        <w:t>מחשבת ישראל</w:t>
      </w:r>
      <w:r>
        <w:rPr>
          <w:rFonts w:ascii="Arial" w:eastAsia="Times New Roman" w:hAnsi="Arial" w:cs="Arial"/>
          <w:rtl/>
        </w:rPr>
        <w:br/>
      </w:r>
      <w:r>
        <w:rPr>
          <w:rStyle w:val="a3"/>
          <w:rFonts w:ascii="Arial" w:eastAsia="Times New Roman" w:hAnsi="Arial" w:cs="Arial"/>
          <w:rtl/>
        </w:rPr>
        <w:t xml:space="preserve">נושא: </w:t>
      </w:r>
      <w:r>
        <w:rPr>
          <w:rFonts w:ascii="Arial" w:eastAsia="Times New Roman" w:hAnsi="Arial" w:cs="Arial"/>
          <w:rtl/>
        </w:rPr>
        <w:t>אמונה וגאולה</w:t>
      </w:r>
    </w:p>
    <w:p w14:paraId="303F4227" w14:textId="77777777" w:rsidR="00000000" w:rsidRDefault="00000000">
      <w:pPr>
        <w:pStyle w:val="3"/>
        <w:bidi/>
        <w:spacing w:line="312" w:lineRule="auto"/>
        <w:rPr>
          <w:rFonts w:ascii="Arial" w:eastAsia="Times New Roman" w:hAnsi="Arial" w:cs="Arial"/>
          <w:rtl/>
        </w:rPr>
      </w:pPr>
      <w:r>
        <w:rPr>
          <w:rFonts w:ascii="Arial" w:eastAsia="Times New Roman" w:hAnsi="Arial" w:cs="Arial"/>
          <w:rtl/>
        </w:rPr>
        <w:t xml:space="preserve">מטרות השיעור: </w:t>
      </w:r>
    </w:p>
    <w:p w14:paraId="05D9904A" w14:textId="77777777" w:rsidR="00000000" w:rsidRDefault="00000000">
      <w:pPr>
        <w:pStyle w:val="NormalWeb"/>
        <w:bidi/>
        <w:spacing w:line="312" w:lineRule="auto"/>
        <w:rPr>
          <w:rFonts w:ascii="Arial" w:hAnsi="Arial" w:cs="Arial"/>
          <w:rtl/>
        </w:rPr>
      </w:pPr>
      <w:r>
        <w:rPr>
          <w:rFonts w:ascii="Arial" w:hAnsi="Arial" w:cs="Arial"/>
          <w:rtl/>
        </w:rPr>
        <w:t>העלאה לדיון של מודלים לחיפוש האמת- חיפוש האמת ש"בחוץ"- האמת המוחלטת האובייקטיבית, מול חיפוש האמת ש"בפנים", האמת האישית, העצמית של המחפש. מה הקשר ביניהם? האם מדובר על דרכים סותרות או משלימות?</w:t>
      </w:r>
    </w:p>
    <w:p w14:paraId="06810A41" w14:textId="77777777" w:rsidR="00000000" w:rsidRDefault="00000000">
      <w:pPr>
        <w:pStyle w:val="NormalWeb"/>
        <w:bidi/>
        <w:spacing w:line="312" w:lineRule="auto"/>
        <w:rPr>
          <w:rFonts w:ascii="Arial" w:hAnsi="Arial" w:cs="Arial"/>
          <w:rtl/>
        </w:rPr>
      </w:pPr>
      <w:r>
        <w:rPr>
          <w:rStyle w:val="a3"/>
          <w:rFonts w:ascii="Arial" w:hAnsi="Arial" w:cs="Arial"/>
          <w:rtl/>
        </w:rPr>
        <w:t>מילות מפתח:</w:t>
      </w:r>
      <w:r>
        <w:rPr>
          <w:rFonts w:ascii="Arial" w:hAnsi="Arial" w:cs="Arial"/>
          <w:rtl/>
        </w:rPr>
        <w:t xml:space="preserve"> עצמיות, אותנטיות, להיות כמו כולם, להיות מיוחד, תשובה.</w:t>
      </w:r>
    </w:p>
    <w:p w14:paraId="1F7308E7" w14:textId="77777777" w:rsidR="00000000" w:rsidRDefault="00000000">
      <w:pPr>
        <w:pStyle w:val="NormalWeb"/>
        <w:bidi/>
        <w:spacing w:line="312" w:lineRule="auto"/>
        <w:rPr>
          <w:rFonts w:ascii="Arial" w:hAnsi="Arial" w:cs="Arial"/>
          <w:rtl/>
        </w:rPr>
      </w:pPr>
      <w:r>
        <w:rPr>
          <w:rFonts w:ascii="Arial" w:hAnsi="Arial" w:cs="Arial"/>
          <w:rtl/>
        </w:rPr>
        <w:t> </w:t>
      </w:r>
    </w:p>
    <w:p w14:paraId="1B293C9E" w14:textId="77777777" w:rsidR="00000000" w:rsidRDefault="00000000">
      <w:pPr>
        <w:pStyle w:val="3"/>
        <w:bidi/>
        <w:spacing w:line="312" w:lineRule="auto"/>
        <w:rPr>
          <w:rFonts w:ascii="Arial" w:eastAsia="Times New Roman" w:hAnsi="Arial" w:cs="Arial"/>
          <w:rtl/>
        </w:rPr>
      </w:pPr>
      <w:r>
        <w:rPr>
          <w:rStyle w:val="a3"/>
          <w:rFonts w:ascii="Arial" w:eastAsia="Times New Roman" w:hAnsi="Arial" w:cs="Arial"/>
          <w:b/>
          <w:bCs/>
          <w:rtl/>
        </w:rPr>
        <w:t>מהלך השיעור:</w:t>
      </w:r>
    </w:p>
    <w:p w14:paraId="180743CE" w14:textId="77777777" w:rsidR="00000000" w:rsidRDefault="00000000">
      <w:pPr>
        <w:pStyle w:val="NormalWeb"/>
        <w:bidi/>
        <w:spacing w:line="312" w:lineRule="auto"/>
        <w:rPr>
          <w:rFonts w:ascii="Arial" w:hAnsi="Arial" w:cs="Arial"/>
          <w:rtl/>
        </w:rPr>
      </w:pPr>
      <w:r>
        <w:rPr>
          <w:rFonts w:ascii="Arial" w:hAnsi="Arial" w:cs="Arial"/>
          <w:rtl/>
        </w:rPr>
        <w:t> </w:t>
      </w:r>
    </w:p>
    <w:p w14:paraId="69C0F779" w14:textId="77777777" w:rsidR="00000000" w:rsidRDefault="00000000">
      <w:pPr>
        <w:pStyle w:val="NormalWeb"/>
        <w:bidi/>
        <w:spacing w:line="312" w:lineRule="auto"/>
        <w:rPr>
          <w:rFonts w:ascii="Arial" w:hAnsi="Arial" w:cs="Arial"/>
          <w:rtl/>
        </w:rPr>
      </w:pPr>
      <w:r>
        <w:rPr>
          <w:rFonts w:ascii="Arial" w:hAnsi="Arial" w:cs="Arial"/>
          <w:rtl/>
        </w:rPr>
        <w:t>א.  </w:t>
      </w:r>
      <w:r>
        <w:rPr>
          <w:rFonts w:ascii="Arial" w:hAnsi="Arial" w:cs="Arial"/>
          <w:noProof/>
        </w:rPr>
        <w:drawing>
          <wp:inline distT="0" distB="0" distL="0" distR="0" wp14:anchorId="65C9715F" wp14:editId="7C0F3EC5">
            <wp:extent cx="304800" cy="3048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tl/>
        </w:rPr>
        <w:t>    נשאל את התלמידים:</w:t>
      </w:r>
    </w:p>
    <w:p w14:paraId="2AE2BB4B" w14:textId="77777777" w:rsidR="00000000" w:rsidRDefault="00000000">
      <w:pPr>
        <w:pStyle w:val="NormalWeb"/>
        <w:bidi/>
        <w:spacing w:line="312" w:lineRule="auto"/>
        <w:rPr>
          <w:rFonts w:ascii="Arial" w:hAnsi="Arial" w:cs="Arial"/>
          <w:rtl/>
        </w:rPr>
      </w:pPr>
      <w:r>
        <w:rPr>
          <w:rFonts w:ascii="Arial" w:hAnsi="Arial" w:cs="Arial"/>
          <w:rtl/>
        </w:rPr>
        <w:t>האם חיפוש האמת, וההתלבטות מה הכיוון הנכון לבחור בו בחיים, צריך לבוא מתוך השאלה מהו הדבר הנכון באופן מוחלט? או אולי מה הדבר הנכון עבורי?</w:t>
      </w:r>
    </w:p>
    <w:p w14:paraId="5737FA05" w14:textId="77777777" w:rsidR="00000000" w:rsidRDefault="00000000">
      <w:pPr>
        <w:pStyle w:val="NormalWeb"/>
        <w:bidi/>
        <w:spacing w:line="312" w:lineRule="auto"/>
        <w:rPr>
          <w:rFonts w:ascii="Arial" w:hAnsi="Arial" w:cs="Arial"/>
          <w:rtl/>
        </w:rPr>
      </w:pPr>
      <w:r>
        <w:rPr>
          <w:rFonts w:ascii="Arial" w:hAnsi="Arial" w:cs="Arial"/>
          <w:rtl/>
        </w:rPr>
        <w:t> </w:t>
      </w:r>
    </w:p>
    <w:p w14:paraId="197F807D" w14:textId="77777777" w:rsidR="00000000" w:rsidRDefault="00000000">
      <w:pPr>
        <w:pStyle w:val="NormalWeb"/>
        <w:bidi/>
        <w:spacing w:line="312" w:lineRule="auto"/>
        <w:rPr>
          <w:rFonts w:ascii="Arial" w:hAnsi="Arial" w:cs="Arial"/>
          <w:rtl/>
        </w:rPr>
      </w:pPr>
      <w:r>
        <w:rPr>
          <w:rFonts w:ascii="Arial" w:hAnsi="Arial" w:cs="Arial"/>
          <w:rtl/>
        </w:rPr>
        <w:t>ב.     </w:t>
      </w:r>
      <w:r>
        <w:rPr>
          <w:rFonts w:ascii="Arial" w:hAnsi="Arial" w:cs="Arial"/>
          <w:noProof/>
        </w:rPr>
        <w:drawing>
          <wp:inline distT="0" distB="0" distL="0" distR="0" wp14:anchorId="6FE81608" wp14:editId="35A22486">
            <wp:extent cx="304800" cy="30480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tl/>
        </w:rPr>
        <w:t xml:space="preserve"> לאחר דיון בנושא, נקרא חלק </w:t>
      </w:r>
      <w:proofErr w:type="spellStart"/>
      <w:r>
        <w:rPr>
          <w:rFonts w:ascii="Arial" w:hAnsi="Arial" w:cs="Arial"/>
          <w:rtl/>
        </w:rPr>
        <w:t>מהראיון</w:t>
      </w:r>
      <w:proofErr w:type="spellEnd"/>
      <w:r>
        <w:rPr>
          <w:rFonts w:ascii="Arial" w:hAnsi="Arial" w:cs="Arial"/>
          <w:rtl/>
        </w:rPr>
        <w:t>, ונצפה בחלק מהסרטון.</w:t>
      </w:r>
    </w:p>
    <w:p w14:paraId="4B70F9C0" w14:textId="77777777" w:rsidR="00000000" w:rsidRDefault="00000000">
      <w:pPr>
        <w:pStyle w:val="NormalWeb"/>
        <w:bidi/>
        <w:spacing w:line="312" w:lineRule="auto"/>
        <w:rPr>
          <w:rFonts w:ascii="Arial" w:hAnsi="Arial" w:cs="Arial"/>
          <w:rtl/>
        </w:rPr>
      </w:pPr>
      <w:r>
        <w:rPr>
          <w:rFonts w:ascii="Arial" w:hAnsi="Arial" w:cs="Arial"/>
          <w:rtl/>
        </w:rPr>
        <w:t xml:space="preserve">ראיון עם </w:t>
      </w:r>
      <w:hyperlink r:id="rId7" w:history="1">
        <w:r>
          <w:rPr>
            <w:rStyle w:val="Hyperlink"/>
            <w:rFonts w:ascii="Arial" w:hAnsi="Arial" w:cs="Arial"/>
            <w:rtl/>
          </w:rPr>
          <w:t>אתי אנקרי</w:t>
        </w:r>
      </w:hyperlink>
    </w:p>
    <w:p w14:paraId="482A1962" w14:textId="77777777" w:rsidR="00000000" w:rsidRDefault="00000000">
      <w:pPr>
        <w:pStyle w:val="NormalWeb"/>
        <w:bidi/>
        <w:spacing w:line="312" w:lineRule="auto"/>
        <w:rPr>
          <w:rFonts w:ascii="Arial" w:hAnsi="Arial" w:cs="Arial"/>
          <w:rtl/>
        </w:rPr>
      </w:pPr>
      <w:r>
        <w:rPr>
          <w:rFonts w:ascii="Arial" w:hAnsi="Arial" w:cs="Arial"/>
          <w:rtl/>
        </w:rPr>
        <w:t xml:space="preserve">סרטון של </w:t>
      </w:r>
      <w:hyperlink r:id="rId8" w:history="1">
        <w:r>
          <w:rPr>
            <w:rStyle w:val="Hyperlink"/>
            <w:rFonts w:ascii="Arial" w:hAnsi="Arial" w:cs="Arial"/>
            <w:rtl/>
          </w:rPr>
          <w:t>אורי זוהר</w:t>
        </w:r>
      </w:hyperlink>
      <w:r>
        <w:rPr>
          <w:rFonts w:ascii="Arial" w:hAnsi="Arial" w:cs="Arial"/>
          <w:rtl/>
        </w:rPr>
        <w:t xml:space="preserve"> (בעיקר דקות 10-20)</w:t>
      </w:r>
    </w:p>
    <w:p w14:paraId="121CAE41" w14:textId="77777777" w:rsidR="00000000" w:rsidRDefault="00000000">
      <w:pPr>
        <w:pStyle w:val="NormalWeb"/>
        <w:bidi/>
        <w:spacing w:line="312" w:lineRule="auto"/>
        <w:rPr>
          <w:rFonts w:ascii="Arial" w:hAnsi="Arial" w:cs="Arial"/>
          <w:rtl/>
        </w:rPr>
      </w:pPr>
      <w:r>
        <w:rPr>
          <w:rFonts w:ascii="Arial" w:hAnsi="Arial" w:cs="Arial"/>
          <w:rtl/>
        </w:rPr>
        <w:t> </w:t>
      </w:r>
    </w:p>
    <w:p w14:paraId="7155AB6F" w14:textId="77777777" w:rsidR="00000000" w:rsidRDefault="00000000">
      <w:pPr>
        <w:pStyle w:val="NormalWeb"/>
        <w:bidi/>
        <w:spacing w:line="312" w:lineRule="auto"/>
        <w:rPr>
          <w:rFonts w:ascii="Arial" w:hAnsi="Arial" w:cs="Arial"/>
          <w:rtl/>
        </w:rPr>
      </w:pPr>
      <w:r>
        <w:rPr>
          <w:rFonts w:ascii="Arial" w:hAnsi="Arial" w:cs="Arial"/>
          <w:rtl/>
        </w:rPr>
        <w:lastRenderedPageBreak/>
        <w:t>נדון בקצרה בשאלה במה שונה החזרה בתשובה של אתי אנקרי מזו של אורי זוהר. האם יש סתירה?</w:t>
      </w:r>
    </w:p>
    <w:p w14:paraId="7E9EA786" w14:textId="77777777" w:rsidR="00000000" w:rsidRDefault="00000000">
      <w:pPr>
        <w:pStyle w:val="NormalWeb"/>
        <w:bidi/>
        <w:spacing w:line="312" w:lineRule="auto"/>
        <w:rPr>
          <w:rFonts w:ascii="Arial" w:hAnsi="Arial" w:cs="Arial"/>
          <w:rtl/>
        </w:rPr>
      </w:pPr>
      <w:r>
        <w:rPr>
          <w:rFonts w:ascii="Arial" w:hAnsi="Arial" w:cs="Arial"/>
          <w:rtl/>
        </w:rPr>
        <w:t>בעוד שאתי אנקרי מתארת את תהליך חזרתה בתשובה כתהליך של התקרבות לעצמה (ציטוט- "אני רואה את התהליך הזה כהתקרבות פנימית לעצמי, ולתוצאה קוראים בחוץ חזרה בתשובה"), אצל אורי זוהר התהליך מתואר כהכרה בעובדה שכלית אובייקטיבית- שיש בורא לעולם שנתן תורה לישראל, שחייבה אותו לשנות את אורחות חייו.</w:t>
      </w:r>
    </w:p>
    <w:p w14:paraId="278DB698" w14:textId="77777777" w:rsidR="00000000" w:rsidRDefault="00000000">
      <w:pPr>
        <w:pStyle w:val="NormalWeb"/>
        <w:bidi/>
        <w:spacing w:line="312" w:lineRule="auto"/>
        <w:rPr>
          <w:rFonts w:ascii="Arial" w:hAnsi="Arial" w:cs="Arial"/>
          <w:rtl/>
        </w:rPr>
      </w:pPr>
      <w:r>
        <w:rPr>
          <w:rFonts w:ascii="Arial" w:hAnsi="Arial" w:cs="Arial"/>
          <w:rtl/>
        </w:rPr>
        <w:t> </w:t>
      </w:r>
    </w:p>
    <w:p w14:paraId="02A2A2E4" w14:textId="77777777" w:rsidR="00000000" w:rsidRDefault="00000000">
      <w:pPr>
        <w:pStyle w:val="NormalWeb"/>
        <w:bidi/>
        <w:spacing w:line="312" w:lineRule="auto"/>
        <w:rPr>
          <w:rFonts w:ascii="Arial" w:hAnsi="Arial" w:cs="Arial"/>
          <w:rtl/>
        </w:rPr>
      </w:pPr>
      <w:r>
        <w:rPr>
          <w:rFonts w:ascii="Arial" w:hAnsi="Arial" w:cs="Arial"/>
          <w:rtl/>
        </w:rPr>
        <w:t xml:space="preserve">ג. </w:t>
      </w:r>
      <w:r>
        <w:rPr>
          <w:rFonts w:ascii="Arial" w:hAnsi="Arial" w:cs="Arial"/>
          <w:noProof/>
        </w:rPr>
        <w:drawing>
          <wp:inline distT="0" distB="0" distL="0" distR="0" wp14:anchorId="285FE6A6" wp14:editId="02202A1A">
            <wp:extent cx="304800" cy="30480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tl/>
        </w:rPr>
        <w:t xml:space="preserve">נקרא ונסביר את המקור של </w:t>
      </w:r>
      <w:proofErr w:type="spellStart"/>
      <w:r>
        <w:rPr>
          <w:rFonts w:ascii="Arial" w:hAnsi="Arial" w:cs="Arial"/>
          <w:rtl/>
        </w:rPr>
        <w:t>הראי"ה</w:t>
      </w:r>
      <w:proofErr w:type="spellEnd"/>
      <w:r>
        <w:rPr>
          <w:rFonts w:ascii="Arial" w:hAnsi="Arial" w:cs="Arial"/>
          <w:rtl/>
        </w:rPr>
        <w:t>. המקור מראה שאין סתירה בין הדברים, חיפוש האלוקי והמוחלט הוא חיפוש האני העצמי.</w:t>
      </w:r>
    </w:p>
    <w:p w14:paraId="344FA4C0" w14:textId="77777777" w:rsidR="00000000" w:rsidRDefault="00000000">
      <w:pPr>
        <w:pStyle w:val="NormalWeb"/>
        <w:bidi/>
        <w:spacing w:line="312" w:lineRule="auto"/>
        <w:rPr>
          <w:rFonts w:ascii="Arial" w:hAnsi="Arial" w:cs="Arial"/>
          <w:rtl/>
        </w:rPr>
      </w:pPr>
      <w:r>
        <w:rPr>
          <w:rStyle w:val="a3"/>
          <w:rFonts w:ascii="Arial" w:hAnsi="Arial" w:cs="Arial"/>
          <w:rtl/>
        </w:rPr>
        <w:t> 'בקשת האני העצמי' [</w:t>
      </w:r>
      <w:proofErr w:type="spellStart"/>
      <w:r>
        <w:rPr>
          <w:rStyle w:val="a3"/>
          <w:rFonts w:ascii="Arial" w:hAnsi="Arial" w:cs="Arial"/>
          <w:rtl/>
        </w:rPr>
        <w:t>אוה'ק</w:t>
      </w:r>
      <w:proofErr w:type="spellEnd"/>
      <w:r>
        <w:rPr>
          <w:rStyle w:val="a3"/>
          <w:rFonts w:ascii="Arial" w:hAnsi="Arial" w:cs="Arial"/>
          <w:rtl/>
        </w:rPr>
        <w:t xml:space="preserve"> </w:t>
      </w:r>
      <w:proofErr w:type="spellStart"/>
      <w:r>
        <w:rPr>
          <w:rStyle w:val="a3"/>
          <w:rFonts w:ascii="Arial" w:hAnsi="Arial" w:cs="Arial"/>
          <w:rtl/>
        </w:rPr>
        <w:t>ח''ג</w:t>
      </w:r>
      <w:proofErr w:type="spellEnd"/>
      <w:r>
        <w:rPr>
          <w:rStyle w:val="a3"/>
          <w:rFonts w:ascii="Arial" w:hAnsi="Arial" w:cs="Arial"/>
          <w:rtl/>
        </w:rPr>
        <w:t xml:space="preserve"> </w:t>
      </w:r>
      <w:proofErr w:type="spellStart"/>
      <w:r>
        <w:rPr>
          <w:rStyle w:val="a3"/>
          <w:rFonts w:ascii="Arial" w:hAnsi="Arial" w:cs="Arial"/>
          <w:rtl/>
        </w:rPr>
        <w:t>קמ</w:t>
      </w:r>
      <w:proofErr w:type="spellEnd"/>
      <w:r>
        <w:rPr>
          <w:rStyle w:val="a3"/>
          <w:rFonts w:ascii="Arial" w:hAnsi="Arial" w:cs="Arial"/>
          <w:rtl/>
        </w:rPr>
        <w:t>]:</w:t>
      </w:r>
    </w:p>
    <w:p w14:paraId="6E701BC3" w14:textId="77777777" w:rsidR="004F3559" w:rsidRDefault="00000000">
      <w:pPr>
        <w:pStyle w:val="NormalWeb"/>
        <w:bidi/>
        <w:spacing w:line="312" w:lineRule="auto"/>
        <w:rPr>
          <w:rFonts w:ascii="Arial" w:hAnsi="Arial" w:cs="Arial"/>
          <w:rtl/>
        </w:rPr>
      </w:pPr>
      <w:r>
        <w:rPr>
          <w:rStyle w:val="a4"/>
          <w:rFonts w:ascii="Arial" w:hAnsi="Arial" w:cs="Arial"/>
          <w:rtl/>
        </w:rPr>
        <w:t xml:space="preserve">ואני בתוך הגולה, האני הפנימי העצמי, של היחיד ושל הציבור. אינו מתגלה בתוכיותו רק לפי ערך הקדושה והטהרה שלו, לפי ערך הגבורה העליונה, הספוגה מהאורה  הטהורה של זיו מעלה, שהיא מתלהבת בקרבו. חטאנו עם אבותינו, ... חטא האדם הראשון, שנתנכר לעצמיותו, שפנה לדעתו של נחש, ואבד את עצמו, לא ידע להשיב תשובה ברורה על שאלת איך, מפני שלא ידע נפשו, מפני שהאניות האמיתית נאבדה ממנו.  בחטא </w:t>
      </w:r>
      <w:proofErr w:type="spellStart"/>
      <w:r>
        <w:rPr>
          <w:rStyle w:val="a4"/>
          <w:rFonts w:ascii="Arial" w:hAnsi="Arial" w:cs="Arial"/>
          <w:rtl/>
        </w:rPr>
        <w:t>ההשתחואה</w:t>
      </w:r>
      <w:proofErr w:type="spellEnd"/>
      <w:r>
        <w:rPr>
          <w:rStyle w:val="a4"/>
          <w:rFonts w:ascii="Arial" w:hAnsi="Arial" w:cs="Arial"/>
          <w:rtl/>
        </w:rPr>
        <w:t xml:space="preserve"> לאל זר, חטא ישראל, זנה אחרי </w:t>
      </w:r>
      <w:proofErr w:type="spellStart"/>
      <w:r>
        <w:rPr>
          <w:rStyle w:val="a4"/>
          <w:rFonts w:ascii="Arial" w:hAnsi="Arial" w:cs="Arial"/>
          <w:rtl/>
        </w:rPr>
        <w:t>אלהי</w:t>
      </w:r>
      <w:proofErr w:type="spellEnd"/>
      <w:r>
        <w:rPr>
          <w:rStyle w:val="a4"/>
          <w:rFonts w:ascii="Arial" w:hAnsi="Arial" w:cs="Arial"/>
          <w:rtl/>
        </w:rPr>
        <w:t xml:space="preserve"> </w:t>
      </w:r>
      <w:proofErr w:type="spellStart"/>
      <w:r>
        <w:rPr>
          <w:rStyle w:val="a4"/>
          <w:rFonts w:ascii="Arial" w:hAnsi="Arial" w:cs="Arial"/>
          <w:rtl/>
        </w:rPr>
        <w:t>נכר</w:t>
      </w:r>
      <w:proofErr w:type="spellEnd"/>
      <w:r>
        <w:rPr>
          <w:rStyle w:val="a4"/>
          <w:rFonts w:ascii="Arial" w:hAnsi="Arial" w:cs="Arial"/>
          <w:rtl/>
        </w:rPr>
        <w:t xml:space="preserve">,  את </w:t>
      </w:r>
      <w:proofErr w:type="spellStart"/>
      <w:r>
        <w:rPr>
          <w:rStyle w:val="a4"/>
          <w:rFonts w:ascii="Arial" w:hAnsi="Arial" w:cs="Arial"/>
          <w:rtl/>
        </w:rPr>
        <w:t>אניותו</w:t>
      </w:r>
      <w:proofErr w:type="spellEnd"/>
      <w:r>
        <w:rPr>
          <w:rStyle w:val="a4"/>
          <w:rFonts w:ascii="Arial" w:hAnsi="Arial" w:cs="Arial"/>
          <w:rtl/>
        </w:rPr>
        <w:t xml:space="preserve"> העצמית עזב, זנח ישראל טוב. חטאה הארץ, הכחישה את עצמיותה, צמצמה את חילה, הלכה אחרי מגמות </w:t>
      </w:r>
      <w:proofErr w:type="spellStart"/>
      <w:r>
        <w:rPr>
          <w:rStyle w:val="a4"/>
          <w:rFonts w:ascii="Arial" w:hAnsi="Arial" w:cs="Arial"/>
          <w:rtl/>
        </w:rPr>
        <w:t>ותכליתות</w:t>
      </w:r>
      <w:proofErr w:type="spellEnd"/>
      <w:r>
        <w:rPr>
          <w:rStyle w:val="a4"/>
          <w:rFonts w:ascii="Arial" w:hAnsi="Arial" w:cs="Arial"/>
          <w:rtl/>
        </w:rPr>
        <w:t xml:space="preserve">, לא נתנה את כל חילה הכמוס להיות טעם עץ כטעם פריו, נשאה עין מחוץ לה, לחשוב על דבר גורלות וקריירות.  קטרגה הירח, אבדה סיבוב פנימיותה, שמחת חלקה, חלמה על דבר הדרת מלכים חיצונה. וכה הולך העולם וצולל באבדן האני של כל אחד, של הפרט ושל הכלל. באים מחנכים מלומדים, מסתכלים בחיצוניות, מסיחים דעה  גם הם מן האני, ומוסיפים תבן על המדורה, משקים את הצמאים בחומץ, מפטמים את המוחות ואת הלבבות בכל מה שהוא חוץ מהם. והאני הולך ומשתכח, וכיון שאין אני, אין הוא, וקל וחומר שאין אתה. רוח אפינו משיח ד', זהו גבורתו הדר גדלו, איננו מבחוץ לנו, רוח אפינו הוא, את ד' </w:t>
      </w:r>
      <w:proofErr w:type="spellStart"/>
      <w:r>
        <w:rPr>
          <w:rStyle w:val="a4"/>
          <w:rFonts w:ascii="Arial" w:hAnsi="Arial" w:cs="Arial"/>
          <w:rtl/>
        </w:rPr>
        <w:t>אלהינו</w:t>
      </w:r>
      <w:proofErr w:type="spellEnd"/>
      <w:r>
        <w:rPr>
          <w:rStyle w:val="a4"/>
          <w:rFonts w:ascii="Arial" w:hAnsi="Arial" w:cs="Arial"/>
          <w:rtl/>
        </w:rPr>
        <w:t xml:space="preserve"> ודוד מלכנו נבקש, אל ה' ואל טובו נפחד, את האני שלנו נבקש, את עצמנו נבקש ונמצא, הסר כל </w:t>
      </w:r>
      <w:proofErr w:type="spellStart"/>
      <w:r>
        <w:rPr>
          <w:rStyle w:val="a4"/>
          <w:rFonts w:ascii="Arial" w:hAnsi="Arial" w:cs="Arial"/>
          <w:rtl/>
        </w:rPr>
        <w:t>אלהי</w:t>
      </w:r>
      <w:proofErr w:type="spellEnd"/>
      <w:r>
        <w:rPr>
          <w:rStyle w:val="a4"/>
          <w:rFonts w:ascii="Arial" w:hAnsi="Arial" w:cs="Arial"/>
          <w:rtl/>
        </w:rPr>
        <w:t xml:space="preserve"> </w:t>
      </w:r>
      <w:proofErr w:type="spellStart"/>
      <w:r>
        <w:rPr>
          <w:rStyle w:val="a4"/>
          <w:rFonts w:ascii="Arial" w:hAnsi="Arial" w:cs="Arial"/>
          <w:rtl/>
        </w:rPr>
        <w:t>נכר</w:t>
      </w:r>
      <w:proofErr w:type="spellEnd"/>
      <w:r>
        <w:rPr>
          <w:rStyle w:val="a4"/>
          <w:rFonts w:ascii="Arial" w:hAnsi="Arial" w:cs="Arial"/>
          <w:rtl/>
        </w:rPr>
        <w:t xml:space="preserve">, הסר כל זר וממזר, וידעתם כי אני ה' </w:t>
      </w:r>
      <w:proofErr w:type="spellStart"/>
      <w:r>
        <w:rPr>
          <w:rStyle w:val="a4"/>
          <w:rFonts w:ascii="Arial" w:hAnsi="Arial" w:cs="Arial"/>
          <w:rtl/>
        </w:rPr>
        <w:t>אלהיכם</w:t>
      </w:r>
      <w:proofErr w:type="spellEnd"/>
      <w:r>
        <w:rPr>
          <w:rStyle w:val="a4"/>
          <w:rFonts w:ascii="Arial" w:hAnsi="Arial" w:cs="Arial"/>
          <w:rtl/>
        </w:rPr>
        <w:t xml:space="preserve">, המוציא אתכם מארץ מצרים להיות לכם </w:t>
      </w:r>
      <w:proofErr w:type="spellStart"/>
      <w:r>
        <w:rPr>
          <w:rStyle w:val="a4"/>
          <w:rFonts w:ascii="Arial" w:hAnsi="Arial" w:cs="Arial"/>
          <w:rtl/>
        </w:rPr>
        <w:t>לאלהים</w:t>
      </w:r>
      <w:proofErr w:type="spellEnd"/>
      <w:r>
        <w:rPr>
          <w:rStyle w:val="a4"/>
          <w:rFonts w:ascii="Arial" w:hAnsi="Arial" w:cs="Arial"/>
          <w:rtl/>
        </w:rPr>
        <w:t>, אני ה''  </w:t>
      </w:r>
    </w:p>
    <w:sectPr w:rsidR="004F35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8157C"/>
    <w:rsid w:val="0031782E"/>
    <w:rsid w:val="00367653"/>
    <w:rsid w:val="004F3559"/>
    <w:rsid w:val="0058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10205"/>
  <w15:chartTrackingRefBased/>
  <w15:docId w15:val="{9EEB155D-0632-4601-85CA-E84AB62C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outlineLvl w:val="0"/>
    </w:pPr>
    <w:rPr>
      <w:b/>
      <w:bCs/>
      <w:kern w:val="36"/>
      <w:sz w:val="44"/>
      <w:szCs w:val="44"/>
    </w:rPr>
  </w:style>
  <w:style w:type="paragraph" w:styleId="2">
    <w:name w:val="heading 2"/>
    <w:basedOn w:val="a"/>
    <w:link w:val="20"/>
    <w:uiPriority w:val="9"/>
    <w:qFormat/>
    <w:pPr>
      <w:outlineLvl w:val="1"/>
    </w:pPr>
    <w:rPr>
      <w:b/>
      <w:bCs/>
      <w:sz w:val="32"/>
      <w:szCs w:val="32"/>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כותרת 1 תו"/>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3">
    <w:name w:val="Strong"/>
    <w:basedOn w:val="a0"/>
    <w:uiPriority w:val="22"/>
    <w:qFormat/>
    <w:rPr>
      <w:b/>
      <w:bCs/>
    </w:rPr>
  </w:style>
  <w:style w:type="paragraph" w:styleId="NormalWeb">
    <w:name w:val="Normal (Web)"/>
    <w:basedOn w:val="a"/>
    <w:uiPriority w:val="99"/>
    <w:semiHidden/>
    <w:unhideWhenUsed/>
    <w:pPr>
      <w:spacing w:before="100" w:beforeAutospacing="1" w:after="100" w:afterAutospacing="1"/>
    </w:pPr>
  </w:style>
  <w:style w:type="character" w:customStyle="1" w:styleId="30">
    <w:name w:val="כותרת 3 תו"/>
    <w:basedOn w:val="a0"/>
    <w:link w:val="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Pr>
      <w:color w:val="0000FF"/>
      <w:u w:val="single"/>
    </w:rPr>
  </w:style>
  <w:style w:type="character" w:styleId="FollowedHyperlink">
    <w:name w:val="FollowedHyperlink"/>
    <w:basedOn w:val="a0"/>
    <w:uiPriority w:val="99"/>
    <w:semiHidden/>
    <w:unhideWhenUsed/>
    <w:rPr>
      <w:color w:val="800080"/>
      <w:u w:val="single"/>
    </w:rPr>
  </w:style>
  <w:style w:type="character" w:styleId="a4">
    <w:name w:val="Emphasis"/>
    <w:basedOn w:val="a0"/>
    <w:uiPriority w:val="20"/>
    <w:qFormat/>
    <w:rPr>
      <w:i/>
      <w:iCs/>
    </w:rPr>
  </w:style>
  <w:style w:type="paragraph" w:customStyle="1" w:styleId="icon">
    <w:name w:val="icon"/>
    <w:basedOn w:val="a"/>
    <w:pPr>
      <w:spacing w:before="100" w:beforeAutospacing="1" w:after="100" w:afterAutospacing="1"/>
    </w:pPr>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080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77R1_wxA7pw" TargetMode="External"/><Relationship Id="rId3" Type="http://schemas.openxmlformats.org/officeDocument/2006/relationships/webSettings" Target="webSettings.xml"/><Relationship Id="rId7" Type="http://schemas.openxmlformats.org/officeDocument/2006/relationships/hyperlink" Target="http://www.myim.co.il/main.php?mod=newsOpen&amp;articleID=4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levladaat.org/data/upl/icons/seret.png" TargetMode="External"/><Relationship Id="rId11" Type="http://schemas.openxmlformats.org/officeDocument/2006/relationships/theme" Target="theme/theme1.xml"/><Relationship Id="rId5" Type="http://schemas.openxmlformats.org/officeDocument/2006/relationships/image" Target="http://levladaat.org/data/upl/icons/ptiha.png" TargetMode="External"/><Relationship Id="rId10" Type="http://schemas.openxmlformats.org/officeDocument/2006/relationships/fontTable" Target="fontTable.xml"/><Relationship Id="rId4" Type="http://schemas.openxmlformats.org/officeDocument/2006/relationships/image" Target="http://levladaat.org/images/logo_print.jpg" TargetMode="External"/><Relationship Id="rId9" Type="http://schemas.openxmlformats.org/officeDocument/2006/relationships/image" Target="http://levladaat.org/data/upl/icons/limud.pn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2150</Characters>
  <Application>Microsoft Office Word</Application>
  <DocSecurity>0</DocSecurity>
  <Lines>17</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חיפוש העצמי וחיפוש האמת - אמונה וגאולה פרק ב'</dc:title>
  <dc:subject/>
  <dc:creator>ישראל לוינגר</dc:creator>
  <cp:keywords/>
  <dc:description/>
  <cp:lastModifiedBy>ישראל לוינגר</cp:lastModifiedBy>
  <cp:revision>2</cp:revision>
  <dcterms:created xsi:type="dcterms:W3CDTF">2024-12-14T20:31:00Z</dcterms:created>
  <dcterms:modified xsi:type="dcterms:W3CDTF">2024-12-14T20:31:00Z</dcterms:modified>
</cp:coreProperties>
</file>