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יתרונות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השימוש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בסביבות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הענן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הטמעת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סביבת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ענן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הספר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מקדמת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תהליכים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חינוכיים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וארגוניים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ומביאה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יתרונות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המעצימים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חוויית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הלמידה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וההוראה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160" w:lineRule="auto"/>
        <w:ind w:left="360" w:right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rtl w:val="1"/>
        </w:rPr>
        <w:t xml:space="preserve">ייעול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ניהול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הכיתה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מטלות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160" w:lineRule="auto"/>
        <w:ind w:left="360" w:right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rtl w:val="1"/>
        </w:rPr>
        <w:t xml:space="preserve">התאמה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אישית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הלמידה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התאמת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60" w:lineRule="auto"/>
        <w:ind w:left="360" w:right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rtl w:val="1"/>
        </w:rPr>
        <w:t xml:space="preserve">עבודה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שיתופית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שיתופיות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160" w:lineRule="auto"/>
        <w:ind w:left="360" w:right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rtl w:val="1"/>
        </w:rPr>
        <w:t xml:space="preserve">נגישות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וזמינות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מידע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Rule="auto"/>
        <w:ind w:left="360" w:right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rtl w:val="1"/>
        </w:rPr>
        <w:t xml:space="preserve">אבטחת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מידע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מאובטחת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