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الفراعنة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حكام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القدماء</w:t>
      </w:r>
    </w:p>
    <w:p w:rsidR="00000000" w:rsidDel="00000000" w:rsidP="00000000" w:rsidRDefault="00000000" w:rsidRPr="00000000" w14:paraId="00000002">
      <w:pPr>
        <w:pageBreakBefore w:val="0"/>
        <w:bidi w:val="1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الفرعون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أخناتون</w:t>
      </w:r>
    </w:p>
    <w:p w:rsidR="00000000" w:rsidDel="00000000" w:rsidP="00000000" w:rsidRDefault="00000000" w:rsidRPr="00000000" w14:paraId="00000003">
      <w:pPr>
        <w:pageBreakBefore w:val="0"/>
        <w:bidi w:val="1"/>
        <w:spacing w:after="240" w:before="24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الفكرة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القديم</w:t>
      </w:r>
    </w:p>
    <w:p w:rsidR="00000000" w:rsidDel="00000000" w:rsidP="00000000" w:rsidRDefault="00000000" w:rsidRPr="00000000" w14:paraId="00000004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موطنا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الحضارات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استمرت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pageBreakBefore w:val="0"/>
        <w:bidi w:val="1"/>
        <w:spacing w:after="240" w:before="880" w:lineRule="auto"/>
        <w:ind w:left="1080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                               .</w:t>
      </w:r>
    </w:p>
    <w:p w:rsidR="00000000" w:rsidDel="00000000" w:rsidP="00000000" w:rsidRDefault="00000000" w:rsidRPr="00000000" w14:paraId="00000006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                                                 .</w:t>
      </w:r>
    </w:p>
    <w:p w:rsidR="00000000" w:rsidDel="00000000" w:rsidP="00000000" w:rsidRDefault="00000000" w:rsidRPr="00000000" w14:paraId="00000007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5000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         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م</w:t>
      </w:r>
    </w:p>
    <w:p w:rsidR="00000000" w:rsidDel="00000000" w:rsidP="00000000" w:rsidRDefault="00000000" w:rsidRPr="00000000" w14:paraId="00000008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الزراعة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كيلوبتراأوضم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مصر</w:t>
      </w:r>
    </w:p>
    <w:p w:rsidR="00000000" w:rsidDel="00000000" w:rsidP="00000000" w:rsidRDefault="00000000" w:rsidRPr="00000000" w14:paraId="00000009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للامبراطورية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الرومانية</w:t>
      </w:r>
    </w:p>
    <w:p w:rsidR="00000000" w:rsidDel="00000000" w:rsidP="00000000" w:rsidRDefault="00000000" w:rsidRPr="00000000" w14:paraId="0000000A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أقدم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تدوينه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وينقسم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فترتين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tbl>
      <w:tblPr>
        <w:tblStyle w:val="Table1"/>
        <w:bidiVisual w:val="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395"/>
        <w:tblGridChange w:id="0">
          <w:tblGrid>
            <w:gridCol w:w="4395"/>
            <w:gridCol w:w="43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bidi w:val="1"/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عصر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bidi w:val="1"/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العصر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التاريخي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ظهرت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2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bidi w:val="1"/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استقرار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النيل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5000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bidi w:val="1"/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يقسم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pageBreakBefore w:val="0"/>
              <w:bidi w:val="1"/>
              <w:spacing w:befor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العصر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العتيق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bidi w:val="1"/>
              <w:spacing w:befor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الدولة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القديمة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bidi w:val="1"/>
              <w:spacing w:befor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الدولة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الوسطى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bidi w:val="1"/>
              <w:spacing w:befor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الدولة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1"/>
                </w:rPr>
                <w:t xml:space="preserve">الحديثة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تعددت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المصريين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استخدم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المصريون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تماثيل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مصغرة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واستخدموا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1"/>
          </w:rPr>
          <w:t xml:space="preserve">التحنيط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الجسد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بكونه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همزة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الايمان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Polytheisms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للايمان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Monotheism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لبناء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العمارنة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اكتشف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عشرات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واستقى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المؤرخون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9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مظاهر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الأهرامات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لدفن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الفراعنة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والكنوز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والزينة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هرما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أكبرها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هرم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خوفو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شكلها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المثلث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للوصول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الحكم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حكام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بكلمة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وسيطا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والبشر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وتنقل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صلاحياته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اللقب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موجودة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للأشرفاني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[2]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وفر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مقبرة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أرادوا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دفن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المقبرة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مبلغ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سيطر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زعيمهم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ولقب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1"/>
          </w:rPr>
          <w:t xml:space="preserve">حجر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1"/>
          </w:rPr>
          <w:t xml:space="preserve">الرشيد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نقشت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قطعة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باللغة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1"/>
          </w:rPr>
          <w:t xml:space="preserve">الهيروغليفية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اكتشافه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باحث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فرنسي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فرانسوا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بوشار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1799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نابليون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بونابرت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الاكتشاف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آفاق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حضارة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ألغازها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واحياء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لغتهم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ageBreakBefore w:val="0"/>
        <w:bidi w:val="1"/>
        <w:spacing w:after="240" w:before="24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الحية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لأتون</w:t>
      </w:r>
    </w:p>
    <w:p w:rsidR="00000000" w:rsidDel="00000000" w:rsidP="00000000" w:rsidRDefault="00000000" w:rsidRPr="00000000" w14:paraId="0000001E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حكام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1351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– 1334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تقريبا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ً,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الثامنة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(18)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حكمت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250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تزوج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1"/>
          </w:rPr>
          <w:t xml:space="preserve">نفرتيتي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شاركته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عاصمة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[3]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أخيتاتون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العمارنة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ودفن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المقبرة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فلسفته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واصلاحاته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الدينية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ازدهرت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وحدثت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تغييرات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تمثلت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توحيد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بتخليه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وأدخل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تركزت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ويمنح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الرخاء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للأسرة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انشغل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بفلسفته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واعتبر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الأعظم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خالق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ازلي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الفراعنة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القدماء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أشركوا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عبادته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آلهة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رفضه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أتون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21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فلسفة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أخناتون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وعقيدة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</w:p>
    <w:p w:rsidR="00000000" w:rsidDel="00000000" w:rsidP="00000000" w:rsidRDefault="00000000" w:rsidRPr="00000000" w14:paraId="00000025">
      <w:pPr>
        <w:pageBreakBefore w:val="0"/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مشابهة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هدفها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توحيد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والحياة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فعقيدة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أتون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أخناتون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وهكذا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عقيدة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بعبادة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سلسلة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العرفاني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التوحيدي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6">
      <w:pPr>
        <w:pageBreakBefore w:val="0"/>
        <w:bidi w:val="1"/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اسئلة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7">
      <w:pPr>
        <w:pageBreakBefore w:val="0"/>
        <w:bidi w:val="1"/>
        <w:spacing w:after="240" w:before="240" w:lineRule="auto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أخناتون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فلسفته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وضح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8">
      <w:pPr>
        <w:pageBreakBefore w:val="0"/>
        <w:bidi w:val="1"/>
        <w:spacing w:after="240" w:before="240" w:lineRule="auto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ابحث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بالشبكة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العنكبوتية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القدماء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بعبادة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أتون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تل</w:t>
      </w:r>
      <w:r w:rsidDel="00000000" w:rsidR="00000000" w:rsidRPr="00000000">
        <w:rPr>
          <w:i w:val="1"/>
          <w:highlight w:val="white"/>
          <w:rtl w:val="1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العمارنة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اسمها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اخيتاتون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أفق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أتون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العاصمة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أنشأها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إخناتون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،.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يتمركز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تل</w:t>
      </w:r>
      <w:r w:rsidDel="00000000" w:rsidR="00000000" w:rsidRPr="00000000">
        <w:rPr>
          <w:i w:val="1"/>
          <w:highlight w:val="white"/>
          <w:rtl w:val="1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العمارنة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دير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مواس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محافظة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المنيا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شمال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صعيد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[2]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أشرفاني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قصص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النبيين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والأمم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السالفين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", 2011.</w:t>
      </w:r>
    </w:p>
    <w:p w:rsidR="00000000" w:rsidDel="00000000" w:rsidP="00000000" w:rsidRDefault="00000000" w:rsidRPr="00000000" w14:paraId="0000002D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طيبه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جنوب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مصر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i w:val="1"/>
          <w:highlight w:val="white"/>
          <w:rtl w:val="1"/>
        </w:rPr>
        <w:t xml:space="preserve">مصر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موجوده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حوالى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800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جنوب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المتوسط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الضفة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لنهر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النيل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David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r.wikipedia.org/wiki/%D8%AD%D8%AC%D8%B1_%D8%B1%D8%B4%D9%8A%D8%AF" TargetMode="External"/><Relationship Id="rId22" Type="http://schemas.openxmlformats.org/officeDocument/2006/relationships/hyperlink" Target="https://ar.wikipedia.org/wiki/%D9%87%D9%8A%D8%B1%D9%88%D8%BA%D9%84%D9%8A%D9%81%D9%8A%D8%A9_%D9%85%D8%B5%D8%B1%D9%8A%D8%A9" TargetMode="External"/><Relationship Id="rId21" Type="http://schemas.openxmlformats.org/officeDocument/2006/relationships/hyperlink" Target="https://ar.wikipedia.org/wiki/%D8%AD%D8%AC%D8%B1_%D8%B1%D8%B4%D9%8A%D8%AF" TargetMode="External"/><Relationship Id="rId24" Type="http://schemas.openxmlformats.org/officeDocument/2006/relationships/hyperlink" Target="https://ar.wikipedia.org/wiki/%D9%86%D9%81%D8%B1%D8%AA%D9%8A%D8%AA%D9%8A" TargetMode="External"/><Relationship Id="rId23" Type="http://schemas.openxmlformats.org/officeDocument/2006/relationships/hyperlink" Target="https://ar.wikipedia.org/wiki/%D9%87%D9%8A%D8%B1%D9%88%D8%BA%D9%84%D9%8A%D9%81%D9%8A%D8%A9_%D9%85%D8%B5%D8%B1%D9%8A%D8%A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.wikipedia.org/wiki/%D8%A7%D9%84%D9%85%D9%85%D9%84%D9%83%D8%A9_%D8%A7%D9%84%D9%85%D8%B5%D8%B1%D9%8A%D8%A9_%D8%A7%D9%84%D9%82%D8%AF%D9%8A%D9%85%D8%A9" TargetMode="External"/><Relationship Id="rId25" Type="http://schemas.openxmlformats.org/officeDocument/2006/relationships/hyperlink" Target="https://ar.wikipedia.org/wiki/%D9%86%D9%81%D8%B1%D8%AA%D9%8A%D8%AA%D9%8A" TargetMode="External"/><Relationship Id="rId5" Type="http://schemas.openxmlformats.org/officeDocument/2006/relationships/styles" Target="styles.xml"/><Relationship Id="rId6" Type="http://schemas.openxmlformats.org/officeDocument/2006/relationships/hyperlink" Target="https://ar.wikipedia.org/wiki/%D8%B9%D8%B5%D8%B1_%D8%A7%D9%84%D8%A3%D8%B3%D8%B1_%D8%A7%D9%84%D9%85%D8%B5%D8%B1%D9%8A%D8%A9_%D8%A7%D9%84%D9%85%D8%A8%D9%83%D8%B1%D8%A9" TargetMode="External"/><Relationship Id="rId7" Type="http://schemas.openxmlformats.org/officeDocument/2006/relationships/hyperlink" Target="https://ar.wikipedia.org/wiki/%D8%B9%D8%B5%D8%B1_%D8%A7%D9%84%D8%A3%D8%B3%D8%B1_%D8%A7%D9%84%D9%85%D8%B5%D8%B1%D9%8A%D8%A9_%D8%A7%D9%84%D9%85%D8%A8%D9%83%D8%B1%D8%A9" TargetMode="External"/><Relationship Id="rId8" Type="http://schemas.openxmlformats.org/officeDocument/2006/relationships/hyperlink" Target="https://ar.wikipedia.org/wiki/%D8%B9%D8%B5%D8%B1_%D8%A7%D9%84%D8%A3%D8%B3%D8%B1_%D8%A7%D9%84%D9%85%D8%B5%D8%B1%D9%8A%D8%A9_%D8%A7%D9%84%D9%85%D8%A8%D9%83%D8%B1%D8%A9" TargetMode="External"/><Relationship Id="rId11" Type="http://schemas.openxmlformats.org/officeDocument/2006/relationships/hyperlink" Target="https://ar.wikipedia.org/wiki/%D8%A7%D9%84%D9%85%D9%85%D9%84%D9%83%D8%A9_%D8%A7%D9%84%D9%85%D8%B5%D8%B1%D9%8A%D8%A9_%D8%A7%D9%84%D9%82%D8%AF%D9%8A%D9%85%D8%A9" TargetMode="External"/><Relationship Id="rId10" Type="http://schemas.openxmlformats.org/officeDocument/2006/relationships/hyperlink" Target="https://ar.wikipedia.org/wiki/%D8%A7%D9%84%D9%85%D9%85%D9%84%D9%83%D8%A9_%D8%A7%D9%84%D9%85%D8%B5%D8%B1%D9%8A%D8%A9_%D8%A7%D9%84%D9%82%D8%AF%D9%8A%D9%85%D8%A9" TargetMode="External"/><Relationship Id="rId13" Type="http://schemas.openxmlformats.org/officeDocument/2006/relationships/hyperlink" Target="https://ar.wikipedia.org/wiki/%D8%A7%D9%84%D9%85%D9%85%D9%84%D9%83%D8%A9_%D8%A7%D9%84%D9%85%D8%B5%D8%B1%D9%8A%D8%A9_%D8%A7%D9%84%D9%88%D8%B3%D8%B7%D9%89" TargetMode="External"/><Relationship Id="rId12" Type="http://schemas.openxmlformats.org/officeDocument/2006/relationships/hyperlink" Target="https://ar.wikipedia.org/wiki/%D8%A7%D9%84%D9%85%D9%85%D9%84%D9%83%D8%A9_%D8%A7%D9%84%D9%85%D8%B5%D8%B1%D9%8A%D8%A9_%D8%A7%D9%84%D9%88%D8%B3%D8%B7%D9%89" TargetMode="External"/><Relationship Id="rId15" Type="http://schemas.openxmlformats.org/officeDocument/2006/relationships/hyperlink" Target="https://ar.wikipedia.org/wiki/%D8%A7%D9%84%D9%85%D9%85%D9%84%D9%83%D8%A9_%D8%A7%D9%84%D9%85%D8%B5%D8%B1%D9%8A%D8%A9_%D8%A7%D9%84%D8%AD%D8%AF%D9%8A%D8%AB%D8%A9" TargetMode="External"/><Relationship Id="rId14" Type="http://schemas.openxmlformats.org/officeDocument/2006/relationships/hyperlink" Target="https://ar.wikipedia.org/wiki/%D8%A7%D9%84%D9%85%D9%85%D9%84%D9%83%D8%A9_%D8%A7%D9%84%D9%85%D8%B5%D8%B1%D9%8A%D8%A9_%D8%A7%D9%84%D9%88%D8%B3%D8%B7%D9%89" TargetMode="External"/><Relationship Id="rId17" Type="http://schemas.openxmlformats.org/officeDocument/2006/relationships/hyperlink" Target="https://ar.wikipedia.org/wiki/%D8%A7%D9%84%D9%85%D9%85%D9%84%D9%83%D8%A9_%D8%A7%D9%84%D9%85%D8%B5%D8%B1%D9%8A%D8%A9_%D8%A7%D9%84%D8%AD%D8%AF%D9%8A%D8%AB%D8%A9" TargetMode="External"/><Relationship Id="rId16" Type="http://schemas.openxmlformats.org/officeDocument/2006/relationships/hyperlink" Target="https://ar.wikipedia.org/wiki/%D8%A7%D9%84%D9%85%D9%85%D9%84%D9%83%D8%A9_%D8%A7%D9%84%D9%85%D8%B5%D8%B1%D9%8A%D8%A9_%D8%A7%D9%84%D8%AD%D8%AF%D9%8A%D8%AB%D8%A9" TargetMode="External"/><Relationship Id="rId19" Type="http://schemas.openxmlformats.org/officeDocument/2006/relationships/hyperlink" Target="https://ar.wikipedia.org/wiki/%D8%AD%D8%AC%D8%B1_%D8%B1%D8%B4%D9%8A%D8%AF" TargetMode="External"/><Relationship Id="rId18" Type="http://schemas.openxmlformats.org/officeDocument/2006/relationships/hyperlink" Target="https://arz.wikipedia.org/wiki/%D8%A7%D9%84%D8%AA%D8%AD%D9%86%D9%8A%D8%B7_%D9%81%D9%89_%D9%85%D8%B5%D8%B1_%D8%A7%D9%84%D9%82%D8%AF%D9%8A%D9%85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