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jc w:val="center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الغنوصية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أو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العرفانية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أو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المعرفية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: Gnosticism</w:t>
      </w:r>
    </w:p>
    <w:p w:rsidR="00000000" w:rsidDel="00000000" w:rsidP="00000000" w:rsidRDefault="00000000" w:rsidRPr="00000000" w14:paraId="00000002">
      <w:pPr>
        <w:pageBreakBefore w:val="0"/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الفكرة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المركزية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الفترة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الزمنية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للغنوصية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pageBreakBefore w:val="0"/>
        <w:bidi w:val="1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.</w:t>
      </w:r>
    </w:p>
    <w:p w:rsidR="00000000" w:rsidDel="00000000" w:rsidP="00000000" w:rsidRDefault="00000000" w:rsidRPr="00000000" w14:paraId="00000004">
      <w:pPr>
        <w:pageBreakBefore w:val="0"/>
        <w:bidi w:val="1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اليهودية</w:t>
      </w:r>
      <w:r w:rsidDel="00000000" w:rsidR="00000000" w:rsidRPr="00000000">
        <w:rPr>
          <w:sz w:val="24"/>
          <w:szCs w:val="24"/>
          <w:rtl w:val="1"/>
        </w:rPr>
        <w:t xml:space="preserve">                     </w:t>
        <w:tab/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ميلاد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المسيح</w:t>
      </w:r>
      <w:r w:rsidDel="00000000" w:rsidR="00000000" w:rsidRPr="00000000">
        <w:rPr>
          <w:sz w:val="24"/>
          <w:szCs w:val="24"/>
          <w:rtl w:val="1"/>
        </w:rPr>
        <w:t xml:space="preserve"> )               </w:t>
        <w:tab/>
      </w:r>
      <w:r w:rsidDel="00000000" w:rsidR="00000000" w:rsidRPr="00000000">
        <w:rPr>
          <w:sz w:val="24"/>
          <w:szCs w:val="24"/>
          <w:rtl w:val="1"/>
        </w:rPr>
        <w:t xml:space="preserve">القرن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والثاني</w:t>
      </w:r>
    </w:p>
    <w:p w:rsidR="00000000" w:rsidDel="00000000" w:rsidP="00000000" w:rsidRDefault="00000000" w:rsidRPr="00000000" w14:paraId="00000007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</w:t>
        <w:tab/>
        <w:t xml:space="preserve">                                          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                     </w:t>
        <w:tab/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ميلادي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الغنوصية</w:t>
      </w:r>
    </w:p>
    <w:p w:rsidR="00000000" w:rsidDel="00000000" w:rsidP="00000000" w:rsidRDefault="00000000" w:rsidRPr="00000000" w14:paraId="00000008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تعريف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الغنوصية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باليونانية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تعني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09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تواجدت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مجتمعات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طوائف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المسيحي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ميلاد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قصيرة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انتشرت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افكارهم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الابيض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المتوسط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تميزت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الغنوصية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بأفكار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وفلسفة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متأثرة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الفلاسفة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اليونانيين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امثال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افلاطون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والخالق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فاعتقد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الغنوصيون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العرفانيون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انبثاق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الشعلة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الالهية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الجسد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الشعلة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معرفتها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pageBreakBefore w:val="0"/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مفاهيم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الغنوصية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0B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                                 </w:t>
      </w:r>
      <w:r w:rsidDel="00000000" w:rsidR="00000000" w:rsidRPr="00000000">
        <w:rPr>
          <w:sz w:val="24"/>
          <w:szCs w:val="24"/>
          <w:rtl w:val="1"/>
        </w:rPr>
        <w:t xml:space="preserve">الموناد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النور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اللهي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tbl>
      <w:tblPr>
        <w:tblStyle w:val="Table1"/>
        <w:tblW w:w="903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4.016198189614"/>
        <w:gridCol w:w="649.6093377798952"/>
        <w:gridCol w:w="288.23725583611247"/>
        <w:gridCol w:w="649.6093377798952"/>
        <w:gridCol w:w="1217.4797522629824"/>
        <w:gridCol w:w="623.7970462124822"/>
        <w:gridCol w:w="249.51881848499286"/>
        <w:gridCol w:w="907.7322534540258"/>
        <w:tblGridChange w:id="0">
          <w:tblGrid>
            <w:gridCol w:w="4444.016198189614"/>
            <w:gridCol w:w="649.6093377798952"/>
            <w:gridCol w:w="288.23725583611247"/>
            <w:gridCol w:w="649.6093377798952"/>
            <w:gridCol w:w="1217.4797522629824"/>
            <w:gridCol w:w="623.7970462124822"/>
            <w:gridCol w:w="249.51881848499286"/>
            <w:gridCol w:w="907.7322534540258"/>
          </w:tblGrid>
        </w:tblGridChange>
      </w:tblGrid>
      <w:tr>
        <w:trPr>
          <w:cantSplit w:val="0"/>
          <w:trHeight w:val="40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       </w:t>
        <w:tab/>
      </w:r>
      <w:r w:rsidDel="00000000" w:rsidR="00000000" w:rsidRPr="00000000">
        <w:rPr>
          <w:sz w:val="24"/>
          <w:szCs w:val="24"/>
          <w:rtl w:val="1"/>
        </w:rPr>
        <w:t xml:space="preserve">ايون</w:t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مخلوقات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ابدية</w:t>
      </w:r>
      <w:r w:rsidDel="00000000" w:rsidR="00000000" w:rsidRPr="00000000">
        <w:rPr>
          <w:sz w:val="24"/>
          <w:szCs w:val="24"/>
          <w:rtl w:val="1"/>
        </w:rPr>
        <w:t xml:space="preserve">)                        </w:t>
        <w:tab/>
      </w:r>
      <w:r w:rsidDel="00000000" w:rsidR="00000000" w:rsidRPr="00000000">
        <w:rPr>
          <w:sz w:val="24"/>
          <w:szCs w:val="24"/>
          <w:rtl w:val="1"/>
        </w:rPr>
        <w:t xml:space="preserve">الارشون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خدم</w:t>
      </w:r>
      <w:r w:rsidDel="00000000" w:rsidR="00000000" w:rsidRPr="00000000">
        <w:rPr>
          <w:sz w:val="24"/>
          <w:szCs w:val="24"/>
          <w:rtl w:val="1"/>
        </w:rPr>
        <w:t xml:space="preserve"> -</w:t>
      </w:r>
      <w:r w:rsidDel="00000000" w:rsidR="00000000" w:rsidRPr="00000000">
        <w:rPr>
          <w:sz w:val="24"/>
          <w:szCs w:val="24"/>
          <w:rtl w:val="1"/>
        </w:rPr>
        <w:t xml:space="preserve">ملائكة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2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                           </w:t>
        <w:tab/>
      </w:r>
      <w:r w:rsidDel="00000000" w:rsidR="00000000" w:rsidRPr="00000000">
        <w:rPr>
          <w:sz w:val="24"/>
          <w:szCs w:val="24"/>
          <w:rtl w:val="1"/>
        </w:rPr>
        <w:t xml:space="preserve">الكون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البشرية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الارض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4">
      <w:pPr>
        <w:pageBreakBefore w:val="0"/>
        <w:bidi w:val="1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1"/>
        </w:rPr>
        <w:t xml:space="preserve">الملأ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الحياة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الالهية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ومنطقة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تتخطى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عالمنا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مخلوقات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الارشون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يتصلون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فيعتقد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المسيح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ارسل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اكتشاف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الالهية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pageBreakBefore w:val="0"/>
        <w:bidi w:val="1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1"/>
        </w:rPr>
        <w:t xml:space="preserve">الواحد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الاحد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اعظم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موناد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ينبثق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ايون</w:t>
      </w:r>
    </w:p>
    <w:p w:rsidR="00000000" w:rsidDel="00000000" w:rsidP="00000000" w:rsidRDefault="00000000" w:rsidRPr="00000000" w14:paraId="00000056">
      <w:pPr>
        <w:pageBreakBefore w:val="0"/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العلاقة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الغنوصية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والموحدون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7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1"/>
        </w:rPr>
        <w:t xml:space="preserve">تؤمن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الغنوصية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بمبادئ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لمبادئ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الموحدون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والحكمة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وبتاثير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الفلسفة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الافلاطونية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فععقيدة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الغنوصية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وهكذا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عقيدة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بعبادة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8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اسئلة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9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بأفكار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ومفاهيم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الغنوصية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الروحانية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باقوالهم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A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ابحث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العنكبوتية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مفاهيم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الغنوصية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رأيك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B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