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both"/>
        <w:rPr>
          <w:rFonts w:ascii="Arial" w:cs="Arial" w:eastAsia="Arial" w:hAnsi="Arial"/>
          <w:b w:val="1"/>
          <w:bCs w:val="1"/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6"/>
          <w:szCs w:val="46"/>
        </w:rPr>
        <w:drawing>
          <wp:inline distB="114300" distT="114300" distL="114300" distR="114300">
            <wp:extent cx="1343025" cy="66675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46"/>
          <w:szCs w:val="46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842838" cy="595605"/>
            <wp:effectExtent b="0" l="0" r="0" t="0"/>
            <wp:wrapNone/>
            <wp:docPr descr="תמונה שמכילה עיגול, צבעוני&#10;&#10;תוכן בינה מלאכותית גנרטיבית עשוי להיות שגוי." id="11" name="image2.jpg"/>
            <a:graphic>
              <a:graphicData uri="http://schemas.openxmlformats.org/drawingml/2006/picture">
                <pic:pic>
                  <pic:nvPicPr>
                    <pic:cNvPr descr="תמונה שמכילה עיגול, צבעוני&#10;&#10;תוכן בינה מלאכותית גנרטיבית עשוי להיות שגוי.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838" cy="595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1196569" cy="532737"/>
            <wp:effectExtent b="0" l="0" r="0" t="0"/>
            <wp:wrapNone/>
            <wp:docPr descr="תמונה שמכילה טקסט, לוגו, סמל, סימן" id="10" name="image1.png"/>
            <a:graphic>
              <a:graphicData uri="http://schemas.openxmlformats.org/drawingml/2006/picture">
                <pic:pic>
                  <pic:nvPicPr>
                    <pic:cNvPr descr="תמונה שמכילה טקסט, לוגו, סמל, סימן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6569" cy="5327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Arial" w:cs="Arial" w:eastAsia="Arial" w:hAnsi="Arial"/>
          <w:b w:val="1"/>
          <w:bCs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תמלול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הקולות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b w:val="1"/>
          <w:bCs w:val="1"/>
          <w:sz w:val="38"/>
          <w:szCs w:val="38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ההסכת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הכלה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מבית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היוצר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בכיר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יסודי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טלמור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לטיפול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בפרט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משוחחת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מורשה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באליאנס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חברים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פתיח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הפדגוגיה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נסי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ולהשפיע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קידום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וברוכים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טלמור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לטיפול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בפרט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באגף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יסודי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ומובילה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נצלול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מומחים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ומומחיות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מהתחום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המושגים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נסי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וקואייג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נסי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נעסוק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בתחום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הנכחת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מפדגוגיה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מבוססת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מהשטח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והתעסקתי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בעניינים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הקשבתי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\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'. </w:t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מהשטח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שקראנו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וחמשת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הקבועים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ביקשה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שנתחלק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שיושב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בשולחן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הסתובב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שמאחוריו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קחו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ותחשבו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הציונות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שתחשבו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באמירות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במעשים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שמתחברות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לציונות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הדליק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זכיתי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קיבלה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משלוח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מישראל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לאתיופיה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ולנכדים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קדוש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שנעלה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אימא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אהבה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וחלמה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מזל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סיכוי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00B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ורואה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מההסתובבות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בחוויה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והמעבר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מכוונת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תספרו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מסוגלים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תספרו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האישית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מתחברת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ניסיתי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בלפטפט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להשתבלל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D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ההזדמנות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באליאנס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ועוסקת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30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פורמלי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בעמותות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שנתחיל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מהבעיה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שהזכרת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שמסיימים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שישמיעו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נפוצה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שחווים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נובעת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ובגלל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טורח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והשתיקו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שיפוטיים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גורמים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להנכיח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מטבעו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להנכיח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להשמיע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ומעורב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חסמים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שמונעים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והחסמים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חסמים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משמיעים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הסביבתי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התגובה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שהסביבה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שבמקור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במרוצת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גרם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לסגת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שמישהו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העצמי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תופס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ולהפך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4-5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חכמים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אינטליגנטיים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לצערי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מכוונת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מכלול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גורם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עבדתי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במכללה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זוכרת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סטודנטים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כמרצה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עסוקה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חמישה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ותמיד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הסמסטר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כשעשיתי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שהפסדתי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פספסתי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הבחינה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הגישו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הסמסטר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איזושהי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להשמיע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שמשתיקים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ויושבים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שכמעט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פותחים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נובע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מהעובדה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שהסביבה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יתאפשר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5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מסכימה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מאפייני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שמטריד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מתפתחת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תופעה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ביישן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החשש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המקסימה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בסבב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ברביעיות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37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בקבוצות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שאומרים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ביישנים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היכולות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ההמשגה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ההבעה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שותק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פסיביים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צופים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האמירות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המחשבות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בהתפתחות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בפיתוח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תצטרך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תצטרך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מסודרת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להמשיג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נתקלים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חותכים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קיצונית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סוגרים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מסוגלים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אזרחים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לנמק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לנמק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התשובה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במבחן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כותבים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ישמעו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מכבד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מנומק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יתחברו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אספו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במרוצת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בהתחלה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לבסס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שבכתב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שלמדנו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מקיאים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במבחן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המחשבות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יאמר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יבסס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ערוץ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אתמול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דיברתי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ניהלתי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-20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הקראתי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מסכימה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ומבינה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החשיבות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מבוססת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מייצרים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ידברו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מייצרים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איזושהי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אילמות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חיצוני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D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נכנסת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תפיסה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לזלדה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קופץ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תפיסה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מאחוריו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תפיסות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נכנסת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המיינד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משקף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פרקטיקות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ישמעו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שיראו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המגוון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הזדמנות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בחברה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הישראלית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שקיימים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שמקשיב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פתוחים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יתרונות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נכנסת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הבסיס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הרגשיים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ההתנהגותיים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והלימודיים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מוסיפה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רגשיים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סימבולי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במונח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סגורה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לוקחים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שעוסקת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בנתינה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משקפת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בשבילך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ומופת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לנתינה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אימא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עוסקת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בנתינה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העוטף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תופס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מסתכל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למקומות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בפרשנויות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תסתכלי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פרשנים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התפיסות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התפיסות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הפרשנות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מסתכלים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שואלים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חוזרת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להתחלה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ליכולות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למסוגלות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להרחיב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מעגל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שקשורות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21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הרלוונטיות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נבחר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הדמויות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?",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הנקרא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שמעוררות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שמאפשרות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?",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?",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להפגיש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הזדהות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ייכנס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וישפיע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נוהג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הופך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מהשטח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מהשטח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נעמה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מחנכת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'. </w:t>
      </w:r>
    </w:p>
    <w:p w:rsidR="00000000" w:rsidDel="00000000" w:rsidP="00000000" w:rsidRDefault="00000000" w:rsidRPr="00000000" w14:paraId="00000025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מהשטח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יצאנו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לטיול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הצהריים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חוסר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סבלנות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המדריך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הנופים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הלהיבו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התלוננו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המסלול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מגיעים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לאכסניה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כשהודעתי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עוצרים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התלהבות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כשהגענו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בהפתעה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מאוכזבים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26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27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פגשתי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מביקור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שבהתחלה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הופתעתי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צחקתי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בהתחלה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לעצמי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מעריצים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בצפון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ביקורת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שהעמקתי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למסורת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שמילת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קופצים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מכניסה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לפגוש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להתפספס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הספציפי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פספס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שגורם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לפספס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הפספוס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במושבה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כנרת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בצפון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הפספוס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מתכוונת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לפספוס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לצערי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ביטחונית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סיטואציה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המחנכת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קרובה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הפריט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שמקפיץ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עוצמה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מלהיב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מלהיבה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המחנכת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כתבה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ביוגרפיה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נבקר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תכירו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תכירו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עובדה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המחנכת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מנצלת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הפריט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עבורם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הטיול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מצליחים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לטיקטוק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מקבלים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עבורם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גיליתי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שכיבוד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מרתק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אוהבים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אייקונים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וסביבם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למסורת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מתרבויות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מאחוריו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שתכננו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מעגלי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ופתאום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קלטנו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מאוקראינה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מצליחים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והחלטנו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מעגלים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תרגמנו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המקורות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ניהלנו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שמנחים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בשפתם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נפתח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האוצר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האימהות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חגגו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במרתף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שנמצאים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סגורים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פותחת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הנכסים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חוזר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שאמרנו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בהתחלה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שיצאה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כאקסיומה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הולכת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האקסיומה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ולחפש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הנכסים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היסטוריה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מבטא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הציונית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שהתחברתי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זכרונו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אליעזר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מבחינתנו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המשוררת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שליוותה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שהגענו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העלמין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כנרת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הוצאנו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מהקופסה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הכנרת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גולן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הדקל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שפל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התפללנו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מצוות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ומאמינה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וכשלאבא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וחגגנו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כתבנו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נבקר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רחל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ומשם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נגיע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למלון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ובעלי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ההיגיון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הגענו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לטבריה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לנסוע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ולחזור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הבדלים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D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והוציאו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פגשתי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כשהתחלנו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כשהולכים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עשתה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העצירה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גילוי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שהבנו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החשיבות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השמעת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לפרקטיקה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פרקטיקה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ספציפית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מציגה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ופועלת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אשמח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שתספרי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בתוכנית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הפרקטיקה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המובילה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מחזקים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שיטה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עתיקה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להנכיח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להיכנס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לראש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שקראתי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אגדות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שמרוממות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שדרך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לחדד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לדייק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הניחו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המדרש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מנכיחים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פדגוגיה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מסודרת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קוראים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פל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תיבות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אסיף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1"/>
        </w:rPr>
        <w:t xml:space="preserve">הפתיח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מגדירות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עוסק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שעוסק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בתלונות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אכנס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תפתחו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ונתחיל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לקרוא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להתלונן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המציאות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מייצרת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עסוקה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נוירופדגוגיה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העקרונות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מדברת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שכולל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והתפיסות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לזהויות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מעורר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מצטרפים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שיפוטי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החוויה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החוויות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שהזכרת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תפזר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דווקא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בתמונה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ולנושא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הנלמד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קובייה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הקובייה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יזרוק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הקובייה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מנכיח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אינטלקטואלית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אוריינית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מגיעים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1"/>
        </w:rPr>
        <w:t xml:space="preserve">ללימוד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מאמינות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לנבוע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מאיזשהו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בוחרות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שיכולים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להתפרש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כיוונים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מטיפני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להתגבר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המכשול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העברית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האוריינות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ולדון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לשוחח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פוגש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בחברותות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ייעשה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אקרא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בשלבים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בחברותות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אבקש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הרצאה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פרונטלי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הפתיח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ההקשר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פרשנות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הפתוח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'?</w:t>
      </w:r>
    </w:p>
    <w:p w:rsidR="00000000" w:rsidDel="00000000" w:rsidP="00000000" w:rsidRDefault="00000000" w:rsidRPr="00000000" w14:paraId="00000037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1"/>
        </w:rPr>
        <w:t xml:space="preserve">אסיף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אסיף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מוציא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?".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בתפיסה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שנכנס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להשתנות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לוקח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העשייה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ההמשגה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ההמשגה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המושג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אספקטים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מארון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ישראלי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מתייחסת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הספציפי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דווקא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B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כשמדברים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ובטח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בתקופה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ולהתחבר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שבמרכזה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מקוטב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קיצוני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יעמיק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המחלוקת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החכמים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חולקים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C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ולמידה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משותפת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כיוונים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שחשובים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במגוון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מתרגל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להתרגל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F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בתפיסה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בהכרח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שילוב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שילוב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שתלמיד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להקשיב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מסוגל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להקשיב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בגילים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מכשירים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להחזיק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45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מצאנו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לנכון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בגיל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התחלנו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מחטיבת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ביניים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חמודה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אתגרה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ואמרה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וגילינו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להנחות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למבוגרים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נחשב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בעינייך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1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שנכנסת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בהמשגה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בעשייה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בבוקר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כתוצאה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ושמעתי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חשבתי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שהטקסטים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מתמקדים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בערכים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מתנהג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באחריות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בסולידריות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להשתנות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מאמינה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בשינויים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שנכנסתי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בעיניי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וילדים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השינוי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3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דוגמה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מובילי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ומלמדים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בהפסקה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סיטואציות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מתוסכל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מדהימים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וסבתא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הכירו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מקודם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נתקלים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שולחים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שהמורה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מפתחים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לומד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להקשיב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מוביל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חברותא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והתפקיד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מתרגלים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שיחלבו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וסבתא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ואימא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הדודים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מגלה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הנוכחים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האירוע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מקריא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מההגדה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ועובר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הלאה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שואל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שאגב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מזכירים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היהדות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נתנה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שחוגג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האפשרות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בסקרנות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מהמשפחה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מהאח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מהאח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יושב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בשולחן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סביבי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במהדורה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שעוסקת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שדיברת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מקדמים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המשתנה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דיברנו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הקיטוב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לחלץ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שמכוונות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יתפספסו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אשמח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שתשלימי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האלמנט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מהעניין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ההנכחה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להסתיר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להתבייש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המטען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המטען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התרבותי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והמנהגים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והתובנות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לגיטימי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החמצתי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7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מרגישה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הקפת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אגיד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שברגע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מחויב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להתבייש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אומרים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מהשיח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זקוקים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לקול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הזהות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8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בציטוט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אמרת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דיאלוג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שנכנסתי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לעונג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שושי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מוריה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ולפני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להזכיר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והכלה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מתקיימות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ובראשונה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הכיתה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והמשאב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יקר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המורות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והמורים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וצוותי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היסודי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קידום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ערכי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ההוגנות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לצוות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ולכם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שהאזנתם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להתראות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F140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F140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F140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8F140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8F140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8F140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8F140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8F1406"/>
    <w:rPr>
      <w:rFonts w:cstheme="majorBidi" w:eastAsiaTheme="majorEastAsia"/>
      <w:color w:val="0f4761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8F140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8F1406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8F140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8F1406"/>
    <w:rPr>
      <w:rFonts w:cstheme="majorBidi" w:eastAsiaTheme="majorEastAsia"/>
      <w:color w:val="272727" w:themeColor="text1" w:themeTint="0000D8"/>
    </w:rPr>
  </w:style>
  <w:style w:type="character" w:styleId="a4" w:customStyle="1">
    <w:name w:val="כותרת טקסט תו"/>
    <w:basedOn w:val="a0"/>
    <w:link w:val="a3"/>
    <w:uiPriority w:val="10"/>
    <w:rsid w:val="008F14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כותרת משנה תו"/>
    <w:basedOn w:val="a0"/>
    <w:link w:val="a5"/>
    <w:uiPriority w:val="11"/>
    <w:rsid w:val="008F14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8F140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8F1406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8F1406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8F1406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8F140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ציטוט חזק תו"/>
    <w:basedOn w:val="a0"/>
    <w:link w:val="ab"/>
    <w:uiPriority w:val="30"/>
    <w:rsid w:val="008F1406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8F140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BCqGz78Ah87D0CP8B4QbVP1Hw==">CgMxLjA4AHIhMVI1ckdQVlFPSmxGS2ZkbjBzM3lWWm5Ka201aWEwLUo4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2026-02-05T16:14:00Z</dcterms:created>
  <dc:creator>מוריה טלמור</dc:creator>
</cp:coreProperties>
</file>