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bidi w:val="1"/>
        <w:spacing w:line="360" w:lineRule="auto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האווירית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2024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|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שמגר</w:t>
      </w:r>
    </w:p>
    <w:p w:rsidR="00000000" w:rsidDel="00000000" w:rsidP="00000000" w:rsidRDefault="00000000" w:rsidRPr="00000000" w14:paraId="00000002">
      <w:pPr>
        <w:widowControl w:val="0"/>
        <w:bidi w:val="1"/>
        <w:spacing w:line="360" w:lineRule="auto"/>
        <w:jc w:val="center"/>
        <w:rPr>
          <w:rFonts w:ascii="Assistant" w:cs="Assistant" w:eastAsia="Assistant" w:hAnsi="Assistant"/>
          <w:b w:val="1"/>
          <w:sz w:val="18"/>
          <w:szCs w:val="18"/>
        </w:rPr>
      </w:pP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וניהול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מערך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בהלימה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לצרכים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משתנים</w:t>
      </w:r>
      <w:r w:rsidDel="00000000" w:rsidR="00000000" w:rsidRPr="00000000">
        <w:rPr>
          <w:rFonts w:ascii="Assistant" w:cs="Assistant" w:eastAsia="Assistant" w:hAnsi="Assistant"/>
          <w:b w:val="1"/>
          <w:sz w:val="18"/>
          <w:szCs w:val="18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היענות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לביקוש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1"/>
        </w:rPr>
        <w:t xml:space="preserve">גדל</w:t>
      </w:r>
      <w:r w:rsidDel="00000000" w:rsidR="00000000" w:rsidRPr="00000000">
        <w:rPr>
          <w:rFonts w:ascii="Assistant" w:cs="Assistant" w:eastAsia="Assistant" w:hAnsi="Assistant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במרחב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האווירי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קיימים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סוגי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בינלאומיות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סדירות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שכר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ומוזלות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לאו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קוסט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ארציות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מטוסי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בינוניים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וקטנים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וכן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בינלאומיות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ייעודיות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להטסת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מטענים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ולצידן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האוויר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).  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גורמים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שתרמו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לעלייה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הנוסעים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בטיסות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פנימיות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שמאפשרת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פנימיות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שחוסכות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לתושבי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הגליל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והגולן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למוקד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תיירותי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בינלאומי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תופס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– 80%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הנוסעים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ארצית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גורמים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לעלייה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הנוסעים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בטיסות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בינלאומיות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אוכלוסייה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באירופה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להוזלת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הטיסה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גלובלית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-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עסקים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להזמנת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"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ותרומתו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THEMARKER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rFonts w:ascii="Assistant" w:cs="Assistant" w:eastAsia="Assistant" w:hAnsi="Assistant"/>
          <w:color w:val="202122"/>
          <w:sz w:val="26"/>
          <w:szCs w:val="26"/>
          <w:highlight w:val="whit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שחתמה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האיחוד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האירופי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המייצג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28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ההסכם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ומגבלות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הטיסה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ואירופה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הרפורמה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הטיסה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הנוסעים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שהופעלה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2013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לגידול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-50%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בתנועת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הנוסעים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הבינלאומית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פועלים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לאומיים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לנוסעים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ומטענים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הנמלים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נמצאים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בבעלות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ומנוהלים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רשות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שדות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שבאחריות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משרד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826638" cy="7415213"/>
            <wp:effectExtent b="12700" l="12700" r="12700" t="1270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605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6638" cy="74152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bidi w:val="1"/>
        <w:spacing w:line="360" w:lineRule="auto"/>
        <w:ind w:left="425.1968503937013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גוריון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(1939)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הראשי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לכניסה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ויציאה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מישראל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העיר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לוד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ומחובר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לרכבת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הנוסעים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 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טרמינל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1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המבנה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כיום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מוזלות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במקביל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טרמינל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3 (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נתב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2000),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נחנך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בשנת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2004,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בעל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קיבולת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גדולה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שסביר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שבעתיד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הקרוב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תגיע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לרף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הקיבולת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המקסימלית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לציין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טרמינל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משימוש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ונהרס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טרמינל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שהוקם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נפתח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טרמינל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פרטי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לאנשי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עסקים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ואחמ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בתוכניות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הפיתוח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ביצוע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שדרוג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צירי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הגישה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bidi w:val="1"/>
        <w:spacing w:line="360" w:lineRule="auto"/>
        <w:ind w:left="425.1968503937013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רמון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(2019)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שדה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בגודלו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שהחליף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בעיר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אילת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וכיום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ממוקם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צפונית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לעיר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פנים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בינלאומיות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המרחב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הדרומי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כחלופה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לנתב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לצורך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נחיתות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חירום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   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bidi w:val="1"/>
        <w:spacing w:line="360" w:lineRule="auto"/>
        <w:ind w:left="425.1968503937013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u w:val="single"/>
          <w:rtl w:val="1"/>
        </w:rPr>
        <w:t xml:space="preserve">חיפה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הותיק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(1934)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והקטן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מבין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השלושה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ממנו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יצאו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בינלאומיות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קצרות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טווח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מטוסי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סילון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קטנים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120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ובהן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חברת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אייר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חיפה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משנת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216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בתהליכי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שדרוג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והרחבה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360" w:lineRule="auto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לצד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העיקריים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קיימים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מקומיים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בהרצליה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ובראש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המנוהלים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רשות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שדות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סדירות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והם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משמשים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מטוסים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פרטיים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בעבר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שלושה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נמלי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מקומיים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שנסגרו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בעטרות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אילת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ותל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).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ישנם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-15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מנחתים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שהוכשר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לנחיתה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והמראה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המשמשים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פרטיות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ואימוני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קיימים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בסיסים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למטוסי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האוויר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ונמל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חלל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בבסיס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הצבאי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בפלמחים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המאובטח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חיל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האוויר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ומנוהל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בחלקו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סוכנות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החלל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הישראלית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360" w:lineRule="auto"/>
        <w:jc w:val="both"/>
        <w:rPr>
          <w:rFonts w:ascii="Assistant" w:cs="Assistant" w:eastAsia="Assistant" w:hAnsi="Assistant"/>
          <w:color w:val="2021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גוריון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מיקום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יחסית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לריכוזי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ולמוקדי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הכלכלית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והפוליטית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 6,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ומוקד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באזורי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ריכוזי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אוכלוסייה</w:t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rFonts w:ascii="Assistant" w:cs="Assistant" w:eastAsia="Assistant" w:hAnsi="Assistant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חסרונות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ובעיות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למיקומו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הסמוכים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בטיחותית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בכביש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צמצום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טרמינל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3.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התרחבות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והקירבה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וקרקעות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חקלאיות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בסמוך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bidi w:val="1"/>
        <w:spacing w:line="360" w:lineRule="auto"/>
        <w:ind w:left="283.4645669291342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אחוזי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להיווצרות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ערפילים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ולשבש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ההמראות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והנחיתות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360" w:lineRule="auto"/>
        <w:rPr>
          <w:rFonts w:ascii="Assistant" w:cs="Assistant" w:eastAsia="Assistant" w:hAnsi="Assistant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שדה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בינלאומי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בפריפריה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?</w:t>
      </w:r>
    </w:p>
    <w:p w:rsidR="00000000" w:rsidDel="00000000" w:rsidP="00000000" w:rsidRDefault="00000000" w:rsidRPr="00000000" w14:paraId="00000025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נימוקים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בעד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להתרחבות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מיעוט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אוכלוסייה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תעסוקה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בענף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הפחתת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העומס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ומטריח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תושבי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הפריפרייה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נימוקים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נגד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ובמערכות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אקולוגיות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ממוקדי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הכלכלה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ומריכוזי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דורש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ענפה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NIMBY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  <w:u w:val="non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היתכנות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הביקוש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יצדיק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ההשקעה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התפעול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רמון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וחסרונות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bidi w:val="1"/>
        <w:spacing w:line="360" w:lineRule="auto"/>
        <w:ind w:left="283.4645669291342" w:right="66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שהפריע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וסיכן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קרקע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bidi w:val="1"/>
        <w:spacing w:line="360" w:lineRule="auto"/>
        <w:ind w:left="283.4645669291342" w:right="66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בעומס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וחלופה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לנוסעים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bidi w:val="1"/>
        <w:spacing w:line="360" w:lineRule="auto"/>
        <w:ind w:left="283.4645669291342" w:right="66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תעסוקה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בענף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השירותים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bidi w:val="1"/>
        <w:spacing w:line="360" w:lineRule="auto"/>
        <w:ind w:left="283.4645669291342" w:right="66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גיבוי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לנחיתות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ביטחוניים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bidi w:val="1"/>
        <w:spacing w:line="360" w:lineRule="auto"/>
        <w:ind w:left="283.4645669291342" w:right="66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נרחבים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וזולים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bidi w:val="1"/>
        <w:spacing w:line="360" w:lineRule="auto"/>
        <w:ind w:left="283.4645669291342" w:right="66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מיעוט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אוכלוסייה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ההמראות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בטיחותי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ליישובים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bidi w:val="1"/>
        <w:spacing w:line="360" w:lineRule="auto"/>
        <w:ind w:left="283.4645669291342" w:right="66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שירותי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יבשתיים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bidi w:val="1"/>
        <w:spacing w:line="360" w:lineRule="auto"/>
        <w:ind w:left="283.4645669291342" w:right="66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הברזל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bidi w:val="1"/>
        <w:spacing w:line="360" w:lineRule="auto"/>
        <w:ind w:left="283.4645669291342" w:right="660" w:hanging="360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והצומח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זיהום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והאווירי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line="360" w:lineRule="auto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*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הערה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חשובה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בעבר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ניסיונות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שכשלו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להקים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שדות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באזור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עמק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יזרעאל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הרחבת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שדה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הקטן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בשדה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דב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בתל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שנסגר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לחלוטין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בזיקים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אשקלון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בנבטים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שבנגב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ואף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הקמת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מלאכותי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לשדה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spacing w:line="360" w:lineRule="auto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360" w:lineRule="auto"/>
        <w:ind w:left="0" w:firstLine="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עובדות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ונתונים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האווירית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לשנת</w:t>
      </w:r>
      <w:r w:rsidDel="00000000" w:rsidR="00000000" w:rsidRPr="00000000">
        <w:rPr>
          <w:rFonts w:ascii="Assistant" w:cs="Assistant" w:eastAsia="Assistant" w:hAnsi="Assistant"/>
          <w:b w:val="1"/>
          <w:color w:val="202122"/>
          <w:sz w:val="24"/>
          <w:szCs w:val="24"/>
          <w:highlight w:val="white"/>
          <w:rtl w:val="1"/>
        </w:rPr>
        <w:t xml:space="preserve"> 2023: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bidi w:val="1"/>
        <w:spacing w:line="360" w:lineRule="auto"/>
        <w:ind w:left="720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תנועת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-19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מיליון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בנתב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ינואר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לספטמבר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2023,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עלייה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38.5%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מאשתקד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צפי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שנתי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היעד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-25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מיליון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נוסעים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נפגע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באוקטובר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אירועים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ביטחוניים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– 800-700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ביום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בממוצע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בתקופות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השיא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מעמד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אזורי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נתב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העמוסים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ביותר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במזרח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התיכון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פופולריים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לונדון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פריז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רומא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וניו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יורק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היו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היעדים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המובילים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-60%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מהישראלים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בחרו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לחו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קווים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נוספו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טיסות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ליעדים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במזרח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התיכון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כגון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יעדים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חדשים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ביוון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והבלקן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השפעה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ביטחונית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אירועי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חרבות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ברזל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באוקטובר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צמצמו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תנועת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הנוסעים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וחברות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התעופה</w:t>
      </w:r>
      <w:r w:rsidDel="00000000" w:rsidR="00000000" w:rsidRPr="00000000">
        <w:rPr>
          <w:rFonts w:ascii="Assistant" w:cs="Assistant" w:eastAsia="Assistant" w:hAnsi="Assistant"/>
          <w:color w:val="2021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line="360" w:lineRule="auto"/>
        <w:jc w:val="both"/>
        <w:rPr>
          <w:rFonts w:ascii="Assistant" w:cs="Assistant" w:eastAsia="Assistant" w:hAnsi="Assistant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559.05511811023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bidi w:val="1"/>
      <w:spacing w:line="360" w:lineRule="auto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