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לפרק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u w:val="single"/>
          <w:rtl w:val="1"/>
        </w:rPr>
        <w:t xml:space="preserve">היבשתית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ישראל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היבשתית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בהתפתחות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והסביבתית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במאפייני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בעיותיה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והפתרונות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האפשריים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קונקרטיות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אתגרי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מאפייני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היבשתית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מתאפיינת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בטופוגרפיה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הכבישים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והמסילות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מאופיין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ארוכות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באזורים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הרריים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ומפותלים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מגבילים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הגבוהה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לריכוז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איילון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בגליל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ובנגב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מוגבלת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היבשתית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ועומסים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במטרופולינים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הגדולות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לאובדן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לפריפריה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והגליל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מתקדמות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הנגישות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לשירותים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היעדר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הדרומית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הביאו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לכריתת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ולהרס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שטחים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זיהום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בבריאות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ובאיכות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המינוע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שמוביל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לעומסי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ולשחיקה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מואצת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בירושלים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המטרונית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לאוכלוסייה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jc w:val="both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לבעיות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טופוגרפיה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פיזיים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ההררי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נרחבים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מגביל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היסטורי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מאוזן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הארץ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מואץ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נשארה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ישנן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כפולות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לרכבות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ובדרום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ריכוזיות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ומיעוט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מחסור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כלכליים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וחברתיים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jc w:val="both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פתרונות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לבעיות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בישראל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ונגישה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הרחבת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באופניים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האוטובוס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להפחית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הגודש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העמק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רכבת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מהבעיות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צמצום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הפגיעה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הסביבתית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ברכבים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מסלולי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ירוקים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והטמנת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חשמל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קרקעיים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יעזרו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בשמירה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נתיבי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בכביש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מעודדים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נסיעה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שיתופית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ומפחיתים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העומסים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היבשתית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אתגרים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הזדמנויות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מאוזן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והשקעה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בפריפריה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להפוך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התחבורה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jc w:val="both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