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bidi w:val="1"/>
        <w:spacing w:after="240" w:before="240" w:line="360" w:lineRule="auto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מקורות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מדיניות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ניהול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משק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Assistant" w:cs="Assistant" w:eastAsia="Assistant" w:hAnsi="Assistant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משאבים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היצע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מוגבל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וביקוש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גדל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|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ונדב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שמגר</w:t>
      </w:r>
    </w:p>
    <w:p w:rsidR="00000000" w:rsidDel="00000000" w:rsidP="00000000" w:rsidRDefault="00000000" w:rsidRPr="00000000" w14:paraId="00000002">
      <w:pPr>
        <w:widowControl w:val="0"/>
        <w:bidi w:val="1"/>
        <w:spacing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במוצרי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מזגנים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מייבאת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מקורות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כיום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8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מאגרי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ולוויתן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8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פחם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הירידה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8"/>
        </w:numPr>
        <w:bidi w:val="1"/>
        <w:spacing w:after="0" w:after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נפט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ותעשייה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הנפט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8"/>
        </w:numPr>
        <w:bidi w:val="1"/>
        <w:spacing w:after="0" w:afterAutospacing="0" w:before="0" w:before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סולארית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מיקומה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הגיאוגרפי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מאנרגיית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8"/>
        </w:numPr>
        <w:bidi w:val="1"/>
        <w:spacing w:after="240" w:before="0" w:beforeAutospacing="0"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רוח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טורבינות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מדיניות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ניהול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בישראל</w:t>
      </w:r>
    </w:p>
    <w:p w:rsidR="00000000" w:rsidDel="00000000" w:rsidP="00000000" w:rsidRDefault="00000000" w:rsidRPr="00000000" w14:paraId="0000000B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גיוון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האנרגיה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ייבוא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אספקה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והקטנת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מקומיים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מאגרי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סולארי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D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התייעלות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אנרגטית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חיסכון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אנרגטית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במוצרי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  <w:t xml:space="preserve">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תמריצים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חסכונית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בצריכת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הפרטה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חלקית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ועידוד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כניסת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פרטיים</w:t>
      </w:r>
    </w:p>
    <w:p w:rsidR="00000000" w:rsidDel="00000000" w:rsidP="00000000" w:rsidRDefault="00000000" w:rsidRPr="00000000" w14:paraId="0000000F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לאנרגיות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נקיות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הפחתת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בפחם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והגדלת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באנרגיות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אתגרים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במדיניות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ישראל</w:t>
      </w:r>
    </w:p>
    <w:p w:rsidR="00000000" w:rsidDel="00000000" w:rsidP="00000000" w:rsidRDefault="00000000" w:rsidRPr="00000000" w14:paraId="00000012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איזון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צרכי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ושמירה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הסביבה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לספק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ההולכים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  <w:br w:type="textWrapping"/>
        <w:t xml:space="preserve">   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ובמקביל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ההשפעות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הסביבתיות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ביעדי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הבינלאומיים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3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אנרגיות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להתגבר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גבוהות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4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אנרגטי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להבטיח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במצבי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5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ניהול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משאבי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הגז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הטבעי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לנצל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משאבי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מיטבי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והחברה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6">
      <w:pPr>
        <w:widowControl w:val="0"/>
        <w:bidi w:val="1"/>
        <w:spacing w:line="360" w:lineRule="auto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וחסרונות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במשאבי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מתכלים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לאנרגיה</w:t>
      </w:r>
    </w:p>
    <w:tbl>
      <w:tblPr>
        <w:tblStyle w:val="Table1"/>
        <w:bidiVisual w:val="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515"/>
        <w:tblGridChange w:id="0">
          <w:tblGrid>
            <w:gridCol w:w="4380"/>
            <w:gridCol w:w="4515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הנפט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חסרונות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הנפט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להפקה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שאיבה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ולשינוע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במכליות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בצינורות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כחומר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בתעשייה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פטרוכימית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ייצור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פלסטיק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צבעים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דבקים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גומי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פוליאסטר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ועוד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השימוש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חממה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ומזהם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הובלתו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עלולה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לגרום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וקרקע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תקלות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מחירו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נתון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לתנודות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משברים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פוליטיים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כלכליים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מנוצל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כנשק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פוליטי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בידי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מדינות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ערביות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/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מוסלמיות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bidi w:val="1"/>
              <w:spacing w:line="240" w:lineRule="auto"/>
              <w:ind w:left="425.1968503937013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משאב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מתכלה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545"/>
        <w:tblGridChange w:id="0">
          <w:tblGrid>
            <w:gridCol w:w="4380"/>
            <w:gridCol w:w="45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הפחם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חסרונות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הפחם</w:t>
            </w:r>
          </w:p>
        </w:tc>
      </w:tr>
      <w:tr>
        <w:trPr>
          <w:cantSplit w:val="0"/>
          <w:trHeight w:val="973.684210526315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מחירו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יציב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ביחס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לנפט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מנוצל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נשק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פוליטי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נמצא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בידי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מדינות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ערביות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מוסלמיות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תפוצתו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בעולם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רחבה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כולל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ab/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במדינות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ידידותיות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לישראל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השימוש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פולט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חממה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ומזהם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להפיק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ממנו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דלק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נוזלי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לתחבורה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משאב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מתכלה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bidi w:val="1"/>
              <w:spacing w:line="24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הפקתו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ממכרות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עמוקים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יקרה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פוגעת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בסביבה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ומסוכנת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0"/>
        <w:gridCol w:w="4740"/>
        <w:tblGridChange w:id="0">
          <w:tblGrid>
            <w:gridCol w:w="4170"/>
            <w:gridCol w:w="474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השימוש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במאגרי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הגדולים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שנתגלו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במים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הכלכליים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בעיות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וקשיים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בניצול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מאגרי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שנתגלו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במים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הכלכליים</w:t>
            </w:r>
          </w:p>
        </w:tc>
      </w:tr>
      <w:tr>
        <w:trPr>
          <w:cantSplit w:val="0"/>
          <w:trHeight w:val="55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מזהם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 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פליטת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פחמן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חמצני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וגזים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רעילים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אחרים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כמות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תחמוצות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גופרית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וחנקן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עצמאות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אנרגטית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צמצום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במדינות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הקשור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ליבוא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דלקי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מאובנים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כלכליים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למדינה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עתודות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שנתגלו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גדולות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ומאפשרות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אפילו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ייצוא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הכנסה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כספית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ממיסים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הרווחים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חברות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בנוסף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לכך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הפחתת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הוצאות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הקשורות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לטיפול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בחולים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שימוש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שנתגלה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הכלכליים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עשוי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להוזיל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הפקת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ועקב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הוזלת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תעריף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החשמל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לצרכן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מרחק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מריכוזי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האוכלוסייה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הצורכת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הובלה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יקרה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ומסובכת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אפשרות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לסכסוכים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פוליטיים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מדינות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אחרות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באגן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המזרחי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התיכון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לבנון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קפריסין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טורקיה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אשר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טוענות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שחלק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שייך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אסדות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יעד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אסטרטגי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ובשנים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מאובטחות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24/7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ספינות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חיל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מחשש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לפגיעה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וחבלה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גורמים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עוינים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אסדות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הקידוח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ומערכת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ההובלה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היבשה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עלולים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לפגוע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במערכות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אקולוגיות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bidi w:val="1"/>
              <w:spacing w:line="240" w:lineRule="auto"/>
              <w:ind w:left="720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מתקני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קליטת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בחוף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תופסים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וקיימת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התנגדות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ציבורית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להקמתן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עיקרון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0"/>
              </w:rPr>
              <w:t xml:space="preserve">NIMBY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שהוא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התנגדות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ציבורית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להצבת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מתקנים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ומפגעים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בעייתיים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קרוב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לאוכלוסייה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וחסרונות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במשאבי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מתחדשים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לאנרגיה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380"/>
        <w:tblGridChange w:id="0">
          <w:tblGrid>
            <w:gridCol w:w="4380"/>
            <w:gridCol w:w="43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סולארית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חסרונות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ומגבלות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סולארית</w:t>
            </w:r>
          </w:p>
        </w:tc>
      </w:tr>
      <w:tr>
        <w:trPr>
          <w:cantSplit w:val="0"/>
          <w:trHeight w:val="5491.44000000000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פליטת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חממה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ומניעת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מתחדש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מתכלה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חיזוק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עצמאות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האנרגטית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לייבא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דלקי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מאובנים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הפקת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כדאיות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כלכלית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לאחר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השקעה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ראשונית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משלמים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חומר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מתאים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ביותר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לתנאי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האקלים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קרינת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שמש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רבה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וחזקה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ושטח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מדברי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נרחב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צמצום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פתוחים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ופגיעה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בראשיתי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ובמערכות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אקולוגיות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בשטח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נרחב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ללוחות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סולאריים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בעיית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הצטברות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אבק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הלוחות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הסולאריים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במדבר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לפגוע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ביעילות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הפקת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דורש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ניקוי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ושטיפה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ריחוק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ממוקדי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הצריכה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במרכז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הובלה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ארוכה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ויקרה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השקעה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ראשונית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גבוהה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הצטברות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פסולת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בלאי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לוחות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סולאריים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להפקה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בלילה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380"/>
        <w:tblGridChange w:id="0">
          <w:tblGrid>
            <w:gridCol w:w="4380"/>
            <w:gridCol w:w="43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יתרונות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אנרגיית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רוח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center"/>
              <w:rPr>
                <w:rFonts w:ascii="Assistant" w:cs="Assistant" w:eastAsia="Assistant" w:hAnsi="Assistan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חסרונות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ומגבלות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אנרגיית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sz w:val="24"/>
                <w:szCs w:val="24"/>
                <w:rtl w:val="1"/>
              </w:rPr>
              <w:t xml:space="preserve">רוח</w:t>
            </w:r>
          </w:p>
        </w:tc>
      </w:tr>
      <w:tr>
        <w:trPr>
          <w:cantSplit w:val="0"/>
          <w:trHeight w:val="2856.283783783783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0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פליטת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גזי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חממה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,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ומניעת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מחלות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מזיהום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0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מתחדש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בלתי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מתכלה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0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חיזוק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עצמאות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האנרגטית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ישראל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לייבא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דלקי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מאובנים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הפקת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0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כדאיות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כלכלית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זול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לאחר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השקעה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ראשונית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(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משלמים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חומר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הגלם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0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להקים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טורבינות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היעדר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חיכוך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ורוח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חזקה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צמצום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שטחים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פתוחים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ופגיעה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בנוף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"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בראשיתי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"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ובמערכות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אקולוגיות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בשל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הצורך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בשטח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נרחב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טורבינות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הרוח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סיבוב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להבי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הטורבינות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יוצר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רעש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ומסוכן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לבעלי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כנף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תלות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בתנאי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מזג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אוויר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מותנה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ברוח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חזקה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וקבועה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ריחוק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ממוקדי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הצריכה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במרכז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הארץ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-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הובלה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ארוכה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ויקרה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bidi w:val="1"/>
              <w:spacing w:line="360" w:lineRule="auto"/>
              <w:ind w:left="411.4960629921262" w:hanging="360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השקעה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ראשונית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גבוהה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יצרני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פרטיים</w:t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2018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התקבלה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החלטת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רפורמה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הרפורמה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בהדרגה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33%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ואילו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לגדול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ואפשרות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להוזלת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לצרכן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line="360" w:lineRule="auto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הפרטי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העצמית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ללקוחות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bidi w:val="1"/>
        <w:spacing w:line="360" w:lineRule="auto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מחויבת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מהיצרנים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לתעריף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קובעת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התעריפים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שפועלות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בשיטות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אנרגיות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בבעלות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המייצרות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המבוסס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סולר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ומזוט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המפעילה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במפעלי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bidi w:val="1"/>
        <w:spacing w:line="36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מאנרגיות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מתחדשות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מביוגז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ברחבי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חירייה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מצומצם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נוגע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לשיטה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הפוטו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וולטאית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הסולאריים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אליהו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ונבטים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7">
      <w:pPr>
        <w:widowControl w:val="0"/>
        <w:bidi w:val="1"/>
        <w:spacing w:line="360" w:lineRule="auto"/>
        <w:rPr>
          <w:rFonts w:ascii="Assistant" w:cs="Assistant" w:eastAsia="Assistant" w:hAnsi="Assistan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bidi w:val="1"/>
        <w:spacing w:line="360" w:lineRule="auto"/>
        <w:jc w:val="center"/>
        <w:rPr/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השינויים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באחוז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חברת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יצרני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פרטיים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</w:rPr>
        <w:drawing>
          <wp:inline distB="114300" distT="114300" distL="114300" distR="114300">
            <wp:extent cx="3048000" cy="17819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81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