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rFonts w:ascii="Assistant Medium" w:cs="Assistant Medium" w:eastAsia="Assistant Medium" w:hAnsi="Assistant Medium"/>
          <w:sz w:val="36"/>
          <w:szCs w:val="36"/>
          <w:u w:val="single"/>
        </w:rPr>
      </w:pPr>
      <w:r w:rsidDel="00000000" w:rsidR="00000000" w:rsidRPr="00000000">
        <w:rPr>
          <w:rFonts w:ascii="Assistant Medium" w:cs="Assistant Medium" w:eastAsia="Assistant Medium" w:hAnsi="Assistant Medium"/>
          <w:sz w:val="36"/>
          <w:szCs w:val="36"/>
          <w:u w:val="single"/>
          <w:rtl w:val="1"/>
        </w:rPr>
        <w:t xml:space="preserve">פרק</w:t>
      </w:r>
      <w:r w:rsidDel="00000000" w:rsidR="00000000" w:rsidRPr="00000000">
        <w:rPr>
          <w:rFonts w:ascii="Assistant Medium" w:cs="Assistant Medium" w:eastAsia="Assistant Medium" w:hAnsi="Assistant Medium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6"/>
          <w:szCs w:val="36"/>
          <w:u w:val="single"/>
          <w:rtl w:val="1"/>
        </w:rPr>
        <w:t xml:space="preserve">ראשון</w:t>
      </w:r>
      <w:r w:rsidDel="00000000" w:rsidR="00000000" w:rsidRPr="00000000">
        <w:rPr>
          <w:rFonts w:ascii="Assistant Medium" w:cs="Assistant Medium" w:eastAsia="Assistant Medium" w:hAnsi="Assistant Medium"/>
          <w:sz w:val="36"/>
          <w:szCs w:val="36"/>
          <w:u w:val="single"/>
          <w:rtl w:val="1"/>
        </w:rPr>
        <w:t xml:space="preserve">: </w:t>
      </w:r>
      <w:r w:rsidDel="00000000" w:rsidR="00000000" w:rsidRPr="00000000">
        <w:rPr>
          <w:rFonts w:ascii="Assistant Medium" w:cs="Assistant Medium" w:eastAsia="Assistant Medium" w:hAnsi="Assistant Medium"/>
          <w:sz w:val="36"/>
          <w:szCs w:val="36"/>
          <w:u w:val="single"/>
          <w:rtl w:val="1"/>
        </w:rPr>
        <w:t xml:space="preserve">ארץ</w:t>
      </w:r>
      <w:r w:rsidDel="00000000" w:rsidR="00000000" w:rsidRPr="00000000">
        <w:rPr>
          <w:rFonts w:ascii="Assistant Medium" w:cs="Assistant Medium" w:eastAsia="Assistant Medium" w:hAnsi="Assistant Medium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6"/>
          <w:szCs w:val="36"/>
          <w:u w:val="single"/>
          <w:rtl w:val="1"/>
        </w:rPr>
        <w:t xml:space="preserve">ישראל</w:t>
      </w:r>
    </w:p>
    <w:p w:rsidR="00000000" w:rsidDel="00000000" w:rsidP="00000000" w:rsidRDefault="00000000" w:rsidRPr="00000000" w14:paraId="00000002">
      <w:pPr>
        <w:bidi w:val="1"/>
        <w:spacing w:line="360" w:lineRule="auto"/>
        <w:jc w:val="center"/>
        <w:rPr>
          <w:rFonts w:ascii="Assistant" w:cs="Assistant" w:eastAsia="Assistant" w:hAnsi="Assistant"/>
          <w:b w:val="1"/>
          <w:sz w:val="30"/>
          <w:szCs w:val="30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u w:val="single"/>
          <w:rtl w:val="1"/>
        </w:rPr>
        <w:t xml:space="preserve">התווית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u w:val="single"/>
          <w:rtl w:val="1"/>
        </w:rPr>
        <w:t xml:space="preserve">גבולות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u w:val="single"/>
          <w:rtl w:val="1"/>
        </w:rPr>
        <w:t xml:space="preserve">מדינת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u w:val="single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u w:val="single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u w:val="single"/>
          <w:rtl w:val="1"/>
        </w:rPr>
        <w:t xml:space="preserve">גורמים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u w:val="single"/>
          <w:rtl w:val="1"/>
        </w:rPr>
        <w:t xml:space="preserve">ותהליכים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מיקומה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הגי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אופוליטי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והשלכותיו</w:t>
      </w:r>
    </w:p>
    <w:p w:rsidR="00000000" w:rsidDel="00000000" w:rsidP="00000000" w:rsidRDefault="00000000" w:rsidRPr="00000000" w14:paraId="00000004">
      <w:pPr>
        <w:bidi w:val="1"/>
        <w:spacing w:line="480" w:lineRule="auto"/>
        <w:jc w:val="center"/>
        <w:rPr>
          <w:rFonts w:ascii="Assistant" w:cs="Assistant" w:eastAsia="Assistant" w:hAnsi="Assistant"/>
          <w:sz w:val="28"/>
          <w:szCs w:val="28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8"/>
          <w:szCs w:val="28"/>
          <w:u w:val="single"/>
          <w:rtl w:val="1"/>
        </w:rPr>
        <w:t xml:space="preserve">החשיבות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u w:val="single"/>
          <w:rtl w:val="1"/>
        </w:rPr>
        <w:t xml:space="preserve">הגיאוגרפית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u w:val="single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u w:val="single"/>
          <w:rtl w:val="1"/>
        </w:rPr>
        <w:t xml:space="preserve">גיאופוליטית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u w:val="single"/>
          <w:rtl w:val="1"/>
        </w:rPr>
        <w:t xml:space="preserve">ואסטרטגית</w:t>
      </w:r>
    </w:p>
    <w:tbl>
      <w:tblPr>
        <w:tblStyle w:val="Table1"/>
        <w:bidiVisual w:val="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40"/>
        <w:gridCol w:w="1590"/>
        <w:gridCol w:w="3750"/>
        <w:tblGridChange w:id="0">
          <w:tblGrid>
            <w:gridCol w:w="3540"/>
            <w:gridCol w:w="1590"/>
            <w:gridCol w:w="3750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spacing w:line="36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גיאוגרפית</w:t>
            </w:r>
          </w:p>
          <w:p w:rsidR="00000000" w:rsidDel="00000000" w:rsidP="00000000" w:rsidRDefault="00000000" w:rsidRPr="00000000" w14:paraId="00000006">
            <w:pPr>
              <w:bidi w:val="1"/>
              <w:spacing w:line="36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משאבים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כגון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מקורות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שטחים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אוצרות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טבע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נהרות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מחצבים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bidi w:val="1"/>
              <w:spacing w:line="36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&lt;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משפיע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bidi w:val="1"/>
              <w:spacing w:line="36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פוליטית</w:t>
            </w:r>
          </w:p>
          <w:p w:rsidR="00000000" w:rsidDel="00000000" w:rsidP="00000000" w:rsidRDefault="00000000" w:rsidRPr="00000000" w14:paraId="00000009">
            <w:pPr>
              <w:bidi w:val="1"/>
              <w:spacing w:line="36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יחסים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בין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לאומיים</w:t>
            </w:r>
          </w:p>
          <w:p w:rsidR="00000000" w:rsidDel="00000000" w:rsidP="00000000" w:rsidRDefault="00000000" w:rsidRPr="00000000" w14:paraId="0000000A">
            <w:pPr>
              <w:bidi w:val="1"/>
              <w:spacing w:line="36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מלחמה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/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שלום</w:t>
            </w:r>
          </w:p>
        </w:tc>
      </w:tr>
    </w:tbl>
    <w:p w:rsidR="00000000" w:rsidDel="00000000" w:rsidP="00000000" w:rsidRDefault="00000000" w:rsidRPr="00000000" w14:paraId="0000000B">
      <w:pPr>
        <w:numPr>
          <w:ilvl w:val="0"/>
          <w:numId w:val="2"/>
        </w:numPr>
        <w:bidi w:val="1"/>
        <w:spacing w:line="360" w:lineRule="auto"/>
        <w:ind w:left="720" w:hanging="360"/>
        <w:rPr>
          <w:rFonts w:ascii="Assistant" w:cs="Assistant" w:eastAsia="Assistant" w:hAnsi="Assistant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18"/>
          <w:szCs w:val="18"/>
          <w:u w:val="single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u w:val="single"/>
          <w:rtl w:val="1"/>
        </w:rPr>
        <w:t xml:space="preserve">גיאופוליטיקה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u w:val="singl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תחום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החוקר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מערכת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היחסים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הבינלאומיים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מדינות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בהקשר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גיאוגרפי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מרחבי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)</w:t>
        <w:br w:type="textWrapping"/>
        <w:t xml:space="preserve">                         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הגיאופוליטיקה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שואפת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לספק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הסברים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להתרחשויות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בינלואמיות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ואף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לחזות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אותן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bidi w:val="1"/>
        <w:spacing w:line="360" w:lineRule="auto"/>
        <w:rPr>
          <w:rFonts w:ascii="Assistant Medium" w:cs="Assistant Medium" w:eastAsia="Assistant Medium" w:hAnsi="Assistan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הגורמים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שמקנים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גיאופוליטית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האזורית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והעולמית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והגבירו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הסכסוך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ישראלי</w:t>
      </w:r>
    </w:p>
    <w:p w:rsidR="00000000" w:rsidDel="00000000" w:rsidP="00000000" w:rsidRDefault="00000000" w:rsidRPr="00000000" w14:paraId="0000000E">
      <w:pPr>
        <w:bidi w:val="1"/>
        <w:spacing w:after="240" w:before="240" w:line="240" w:lineRule="auto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1. 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מעבר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בין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 3 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יבשות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 - 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חשיבות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אסטרטגית</w:t>
      </w:r>
    </w:p>
    <w:p w:rsidR="00000000" w:rsidDel="00000000" w:rsidP="00000000" w:rsidRDefault="00000000" w:rsidRPr="00000000" w14:paraId="0000000F">
      <w:pPr>
        <w:bidi w:val="1"/>
        <w:spacing w:after="240" w:before="240" w:line="240" w:lineRule="auto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   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דרכי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מסחר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היסטוריות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: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א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.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דרך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הים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&gt;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מעירק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למצרים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(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לאורך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הים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התיכון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.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יפו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,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עכו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,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אשקלון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)</w:t>
      </w:r>
    </w:p>
    <w:p w:rsidR="00000000" w:rsidDel="00000000" w:rsidP="00000000" w:rsidRDefault="00000000" w:rsidRPr="00000000" w14:paraId="00000010">
      <w:pPr>
        <w:bidi w:val="1"/>
        <w:spacing w:after="240" w:before="240" w:line="240" w:lineRule="auto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                                         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ב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.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דרך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המלך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&gt;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ממכה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לאיסטנבול</w:t>
      </w:r>
    </w:p>
    <w:p w:rsidR="00000000" w:rsidDel="00000000" w:rsidP="00000000" w:rsidRDefault="00000000" w:rsidRPr="00000000" w14:paraId="00000011">
      <w:pPr>
        <w:bidi w:val="1"/>
        <w:spacing w:after="240" w:before="240" w:line="240" w:lineRule="auto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                         </w:t>
        <w:tab/>
        <w:t xml:space="preserve">     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ג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.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מעבר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יבשתי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&gt;&gt;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בין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3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יבשות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(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בעבר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היה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מסוכן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לעבור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דרך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הים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)</w:t>
      </w:r>
    </w:p>
    <w:p w:rsidR="00000000" w:rsidDel="00000000" w:rsidP="00000000" w:rsidRDefault="00000000" w:rsidRPr="00000000" w14:paraId="00000012">
      <w:pPr>
        <w:bidi w:val="1"/>
        <w:spacing w:after="240" w:before="240" w:line="240" w:lineRule="auto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 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העשרה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: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לכן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עברו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כאן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כל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האימפריות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: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יוון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,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רומא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,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פרס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,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צלבנים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,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עותמנים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,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בריטים</w:t>
      </w:r>
    </w:p>
    <w:p w:rsidR="00000000" w:rsidDel="00000000" w:rsidP="00000000" w:rsidRDefault="00000000" w:rsidRPr="00000000" w14:paraId="00000013">
      <w:pPr>
        <w:bidi w:val="1"/>
        <w:spacing w:after="240" w:before="240" w:line="240" w:lineRule="auto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2. 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הקמת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מדינת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-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אשר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מנעה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מעבר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יבשתי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בין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מדינות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ערב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after="240" w:before="240" w:line="240" w:lineRule="auto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                                       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ואשר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חסמה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את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הגישה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של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אזור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ירדן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לים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התיכון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after="240" w:before="240" w:line="240" w:lineRule="auto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3. 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מוקד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דתי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ותיירותי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של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 3 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דתות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יהדות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,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איסלם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ונצרות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after="240" w:before="240" w:line="240" w:lineRule="auto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rela Round" w:cs="Varela Round" w:eastAsia="Varela Round" w:hAnsi="Varela Round"/>
          <w:rtl w:val="1"/>
        </w:rPr>
        <w:tab/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נציין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גם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את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המקומות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הקדושים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לכל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הדתות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כגון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: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ירושלים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,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בית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לחם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,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חברון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,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נצרת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after="240" w:before="240" w:line="240" w:lineRule="auto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4. 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חשיבות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אסטרטגית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כלכלית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א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.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נפט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מהמזרח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התיכון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after="240" w:before="240" w:line="240" w:lineRule="auto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                                                  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ב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.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תעלת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סואץ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spacing w:after="240" w:before="240" w:line="240" w:lineRule="auto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rela Round" w:cs="Varela Round" w:eastAsia="Varela Round" w:hAnsi="Varela Round"/>
          <w:rtl w:val="1"/>
        </w:rPr>
        <w:tab/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העשרה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: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לכן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מדינות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העולם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מתחרות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על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ההשפעה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במזרח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התיכון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spacing w:after="240" w:before="240" w:line="240" w:lineRule="auto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       </w:t>
        <w:tab/>
        <w:t xml:space="preserve">      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ארה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"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ב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-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ישראל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, (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גם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מצרים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-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ירדן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וכו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')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רוסיה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-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סוריה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,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ומעורבות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של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צרפת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ובריטניה</w:t>
      </w:r>
    </w:p>
    <w:p w:rsidR="00000000" w:rsidDel="00000000" w:rsidP="00000000" w:rsidRDefault="00000000" w:rsidRPr="00000000" w14:paraId="0000001B">
      <w:pPr>
        <w:bidi w:val="1"/>
        <w:spacing w:after="240" w:before="240" w:line="240" w:lineRule="auto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5. 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הסכסוך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הערבי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ישראלי</w:t>
      </w:r>
      <w:r w:rsidDel="00000000" w:rsidR="00000000" w:rsidRPr="00000000">
        <w:rPr>
          <w:rFonts w:ascii="Varela Round" w:cs="Varela Round" w:eastAsia="Varela Round" w:hAnsi="Varela Round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א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.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מלחמות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שגרמו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לקביעת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הגבולות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spacing w:after="240" w:before="240" w:line="240" w:lineRule="auto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                                        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ב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.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מדינות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העולם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מתערבות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כדי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לשמור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על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האינטרסים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שלהם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באזור</w:t>
      </w:r>
      <w:r w:rsidDel="00000000" w:rsidR="00000000" w:rsidRPr="00000000">
        <w:rPr>
          <w:rFonts w:ascii="Varela Round" w:cs="Varela Round" w:eastAsia="Varela Round" w:hAnsi="Varela Round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spacing w:line="36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מושגי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יסוד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bidi w:val="1"/>
        <w:spacing w:after="0" w:afterAutospacing="0" w:before="240" w:line="360" w:lineRule="auto"/>
        <w:ind w:left="0" w:hanging="360"/>
        <w:jc w:val="both"/>
        <w:rPr>
          <w:rFonts w:ascii="Assistant" w:cs="Assistant" w:eastAsia="Assistant" w:hAnsi="Assistant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המפריד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גיאוגרפיות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טריטוריות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bidi w:val="1"/>
        <w:spacing w:after="0" w:afterAutospacing="0" w:before="0" w:beforeAutospacing="0" w:line="360" w:lineRule="auto"/>
        <w:ind w:left="0" w:hanging="360"/>
        <w:jc w:val="both"/>
        <w:rPr>
          <w:rFonts w:ascii="Assistant" w:cs="Assistant" w:eastAsia="Assistant" w:hAnsi="Assistant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טריטוריה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שטח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מקומית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שטח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מוגדר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מתוחם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טבעי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מלאכותי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השטח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להיקבע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הסכמים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בינלאומיים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הטריטוריה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מגדירה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שטח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רציף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bidi w:val="1"/>
        <w:spacing w:after="0" w:afterAutospacing="0" w:before="0" w:beforeAutospacing="0" w:line="360" w:lineRule="auto"/>
        <w:ind w:left="0" w:hanging="360"/>
        <w:jc w:val="both"/>
        <w:rPr>
          <w:rFonts w:ascii="Assistant" w:cs="Assistant" w:eastAsia="Assistant" w:hAnsi="Assistant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לאורך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תוואי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פיזי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טבעי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)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תוואי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טבעי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ברכס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וכדומה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bidi w:val="1"/>
        <w:spacing w:after="0" w:afterAutospacing="0" w:before="0" w:beforeAutospacing="0" w:line="360" w:lineRule="auto"/>
        <w:ind w:left="0" w:hanging="360"/>
        <w:jc w:val="both"/>
        <w:rPr>
          <w:rFonts w:ascii="Assistant" w:cs="Assistant" w:eastAsia="Assistant" w:hAnsi="Assistant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מלאכותי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בתוואי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שרירותי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שנקבע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רוחב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וסודן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שנקבעו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מעצמות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קולוניאליות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ששלטו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במזרח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התיכון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ובאפריקה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bidi w:val="1"/>
        <w:spacing w:after="0" w:afterAutospacing="0" w:before="0" w:beforeAutospacing="0" w:line="360" w:lineRule="auto"/>
        <w:ind w:left="0" w:hanging="360"/>
        <w:jc w:val="both"/>
        <w:rPr>
          <w:rFonts w:ascii="Assistant" w:cs="Assistant" w:eastAsia="Assistant" w:hAnsi="Assistant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טריטוריאליים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לרצועת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ברוחב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(12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שטח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בריבונותה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שליטתה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bidi w:val="1"/>
        <w:spacing w:after="0" w:afterAutospacing="0" w:before="0" w:beforeAutospacing="0" w:line="360" w:lineRule="auto"/>
        <w:ind w:left="0" w:hanging="360"/>
        <w:jc w:val="both"/>
        <w:rPr>
          <w:rFonts w:ascii="Assistant" w:cs="Assistant" w:eastAsia="Assistant" w:hAnsi="Assistant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כלכליים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שטח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200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370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למדינה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לחיפושי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זכויות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ופעילויות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כלכליות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bidi w:val="1"/>
        <w:spacing w:before="0" w:beforeAutospacing="0" w:line="360" w:lineRule="auto"/>
        <w:ind w:left="0" w:hanging="360"/>
        <w:jc w:val="both"/>
        <w:rPr>
          <w:rFonts w:ascii="Assistant" w:cs="Assistant" w:eastAsia="Assistant" w:hAnsi="Assistant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אזור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מפורז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שאסור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להחזיק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מבחינה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צבאית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איסור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בריבונות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גבולותיה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before="240" w:line="360" w:lineRule="auto"/>
        <w:ind w:left="0" w:hanging="360"/>
        <w:jc w:val="center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גבולות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סוגים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bidi w:val="1"/>
        <w:spacing w:after="0" w:afterAutospacing="0" w:before="240" w:line="360" w:lineRule="auto"/>
        <w:ind w:left="0" w:hanging="360"/>
        <w:jc w:val="both"/>
        <w:rPr>
          <w:rFonts w:ascii="Assistant" w:cs="Assistant" w:eastAsia="Assistant" w:hAnsi="Assistant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לבנון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מלאכותי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בנהר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הגליל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לנהר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ליטני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ונקבע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סיקס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הבריטים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הצרפתים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הרואים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תוואי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פיזי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טבעי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ומפותל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זמני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bidi w:val="1"/>
        <w:spacing w:after="0" w:afterAutospacing="0" w:before="0" w:beforeAutospacing="0" w:line="360" w:lineRule="auto"/>
        <w:ind w:left="0" w:hanging="360"/>
        <w:jc w:val="both"/>
        <w:rPr>
          <w:rFonts w:ascii="Assistant" w:cs="Assistant" w:eastAsia="Assistant" w:hAnsi="Assistant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סוריה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מלאכותי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הגולן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נמשכת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גיאוגרפית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שטח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זמני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שנקבע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בהסכמי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שביתת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הנשק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1974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bidi w:val="1"/>
        <w:spacing w:after="0" w:afterAutospacing="0" w:before="0" w:beforeAutospacing="0" w:line="360" w:lineRule="auto"/>
        <w:ind w:left="0" w:hanging="360"/>
        <w:jc w:val="both"/>
        <w:rPr>
          <w:rFonts w:ascii="Assistant" w:cs="Assistant" w:eastAsia="Assistant" w:hAnsi="Assistant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ירדן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שרובו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מוסכם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ירדן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1994),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בקטע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הדרומי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הירדן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צפון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המלח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שממזרח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תוואי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פיזי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טבעי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bidi w:val="1"/>
        <w:spacing w:after="200" w:before="0" w:beforeAutospacing="0" w:line="360" w:lineRule="auto"/>
        <w:ind w:left="0" w:hanging="360"/>
        <w:jc w:val="both"/>
        <w:rPr>
          <w:rFonts w:ascii="Assistant" w:cs="Assistant" w:eastAsia="Assistant" w:hAnsi="Assistant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מצרים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מלאכותי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רפיח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טאבה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צדדיו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גיאוגרפיים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פיזיים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מסלע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ואקלים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שנקבע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1979)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spacing w:line="360" w:lineRule="auto"/>
        <w:jc w:val="center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התווית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גבולות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מדינת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ישראל</w:t>
      </w:r>
    </w:p>
    <w:tbl>
      <w:tblPr>
        <w:tblStyle w:val="Table2"/>
        <w:bidiVisual w:val="1"/>
        <w:tblW w:w="10050.0" w:type="dxa"/>
        <w:jc w:val="left"/>
        <w:tblInd w:w="-5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2640"/>
        <w:gridCol w:w="5625"/>
        <w:tblGridChange w:id="0">
          <w:tblGrid>
            <w:gridCol w:w="1785"/>
            <w:gridCol w:w="2640"/>
            <w:gridCol w:w="5625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u w:val="single"/>
                <w:rtl w:val="1"/>
              </w:rPr>
              <w:t xml:space="preserve">התאריכים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u w:val="single"/>
                <w:rtl w:val="1"/>
              </w:rPr>
              <w:t xml:space="preserve">הנושא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u w:val="single"/>
                <w:rtl w:val="1"/>
              </w:rPr>
              <w:t xml:space="preserve">פרוט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2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1923-1922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2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המנדט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הבריטי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2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ייפוי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כוח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פיקדון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מחבר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הלאומים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לבריטניה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2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1947</w:t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תוכנית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החלוקה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br w:type="textWrapping"/>
              <w:t xml:space="preserve">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בנומבר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הצעה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לפי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פיזור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ריכוזי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האוכ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'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היהודית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והערבית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  <w:br w:type="textWrapping"/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ירושלים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כאזור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בינ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בשליטת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1949</w:t>
            </w:r>
          </w:p>
          <w:p w:rsidR="00000000" w:rsidDel="00000000" w:rsidP="00000000" w:rsidRDefault="00000000" w:rsidRPr="00000000" w14:paraId="00000035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מלחמת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העצמאות</w:t>
            </w:r>
          </w:p>
          <w:p w:rsidR="00000000" w:rsidDel="00000000" w:rsidP="00000000" w:rsidRDefault="00000000" w:rsidRPr="00000000" w14:paraId="00000038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בנוסף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לתוכנית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החלוקה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נקבע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הקו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הירוק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גבולות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מדינת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ישראל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בהקמתה</w:t>
            </w:r>
          </w:p>
          <w:p w:rsidR="00000000" w:rsidDel="00000000" w:rsidP="00000000" w:rsidRDefault="00000000" w:rsidRPr="00000000" w14:paraId="0000003A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הנגב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עד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אילת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וללא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איו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הגליל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ללא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רמה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B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מישור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החוף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הדרומי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אשקלון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ללא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רצועת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עזה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C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גישה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לירושלים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ירושלים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מחולקת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-2),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גישה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המלח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1956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מלחמת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סיני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מבצע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קדש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ללא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שינויי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גבול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1967</w:t>
            </w:r>
          </w:p>
          <w:p w:rsidR="00000000" w:rsidDel="00000000" w:rsidP="00000000" w:rsidRDefault="00000000" w:rsidRPr="00000000" w14:paraId="00000041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מלחמת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ששת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הימים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נקבע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הקו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הסגול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ישראל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וסוריה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44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נכבשו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חצי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סיני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עד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תעלת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סואץ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איו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יהודה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ושומרון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 - "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הגדה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המערבית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".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מזרח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ירושלים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הגבול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ירדן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זז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עד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הירדן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רצועת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עזה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ורמת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הגולן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סופחה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בחוק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בשנת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1981)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1973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מלחמת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יום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כיפור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ללא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שינוי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גבול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1978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הסכם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השלום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מצרים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ישראל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נסוגה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מסיני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וחזרה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לגבולות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1949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ארה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4B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מרפיח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ועד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טאבה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ישראל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עדיין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נותרת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רצועת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עזה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1993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הסכמי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אוסלו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הרשות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הפלסטינית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הקמת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שטחי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הרשות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הפלסטינית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שטחי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4F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ישראל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יצאה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מיריחו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חברון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שכם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רמאללה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קלקיליה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1994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הסכם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השלום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ירדן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הסכמה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גבול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משותף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תוואי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זרימת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נהר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הירדן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</w:t>
              <w:br w:type="textWrapping"/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החלפה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בערבה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והחכרת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שטחים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נקודתיים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2002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הקמת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גדר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ההפרדה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שינויי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גבול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  <w:br w:type="textWrapping"/>
              <w:t xml:space="preserve">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החומה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בחפיפה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רבה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לקו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הירוק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u w:val="single"/>
                <w:rtl w:val="1"/>
              </w:rPr>
              <w:t xml:space="preserve">אך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u w:val="single"/>
                <w:rtl w:val="1"/>
              </w:rPr>
              <w:t xml:space="preserve">לא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u w:val="single"/>
                <w:rtl w:val="1"/>
              </w:rPr>
              <w:t xml:space="preserve">מלאה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2005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תכנית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ההתנתקות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יציאת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ישראל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באופן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חד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צדדי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מרצועת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עזה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2006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מלחמת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לבנון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השנייה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ללא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שינויי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גבול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הגבול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הימי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הוסדר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הגבול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הימי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לבנון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מלחמת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חרבות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ברזל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bidi w:val="1"/>
              <w:spacing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ישראל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כובשת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מחדש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רצועת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עזה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במקביל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לעימות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מתמשך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החיזבאללה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בלבנון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איראן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סוריה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וגם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החות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'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מתימן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62">
      <w:pPr>
        <w:bidi w:val="1"/>
        <w:spacing w:after="200" w:before="240"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הקו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הירוק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הירוק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מלחמת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העצמאות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1949,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חתמה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הסכמים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השכנות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ירדן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ולבנון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קוראים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הירוק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67"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48".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הגבולות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מלחמת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-1967.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הירוק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מינהלי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מפריד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השטחים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שנמצאים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בשליטה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שטחים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מנהלת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בשיתוף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הפלסטינית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הירוק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המזרחי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מסכימה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ייקבע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פלסטינית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3">
      <w:pPr>
        <w:bidi w:val="1"/>
        <w:spacing w:before="240"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הקו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הסגול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לגבולות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מלחמת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תוספת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שטחים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שנכבשו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במלחמה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הגולן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ושומרון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מזרח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ירושלים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חצי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הפסקת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מעמדם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הבינלאומי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המלחמה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64">
      <w:pPr>
        <w:bidi w:val="1"/>
        <w:spacing w:before="240"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הקו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הכחול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0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ולבנון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נוכחות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כומתות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כחולות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והצבת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כחולות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תוואי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לגביו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65">
      <w:pPr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spacing w:line="360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השלכות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העדר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מדיני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מוסכם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לכמה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משכנותיה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לבנון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וסוריה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before="240" w:line="360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השלכות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כלכליות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תקציב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מיגון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אתרעה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אירגוני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טרור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למלחמה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היעדר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כלכלית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ותיירות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אזורי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עדיפות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לאומית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הממשלה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מתייחסת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יישובי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הקרובים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ועדיפות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לאומית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והטבות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כלכליות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סכנה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ליישובי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העימות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פיגועים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מחבלים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וסכנה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מלחמה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ובחוסר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ודאות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השטחים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והיישובים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4.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קשרי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טרור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בינלאומיים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איסלאמיות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קיצוניות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איראן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מחזקות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וירדן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אירגוני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הטרור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חיזבאללה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בלבנון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בכינוי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הרשע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".</w:t>
        <w:br w:type="textWrapping"/>
        <w:t xml:space="preserve">5.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השפעות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כלכליות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היעדר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לקשרי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המזוהות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הסכמי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בעייתיות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גלובלי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לתרום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לכלכלת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המדינות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5840" w:w="12240" w:orient="portrait"/>
      <w:pgMar w:bottom="1077.1653543307093" w:top="1440.0000000000002" w:left="1440.0000000000002" w:right="1440.000000000000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ssistant Medium">
    <w:embedRegular w:fontKey="{00000000-0000-0000-0000-000000000000}" r:id="rId1" w:subsetted="0"/>
    <w:embedBold w:fontKey="{00000000-0000-0000-0000-000000000000}" r:id="rId2" w:subsetted="0"/>
  </w:font>
  <w:font w:name="Assistant">
    <w:embedRegular w:fontKey="{00000000-0000-0000-0000-000000000000}" r:id="rId3" w:subsetted="0"/>
    <w:embedBold w:fontKey="{00000000-0000-0000-0000-000000000000}" r:id="rId4" w:subsetted="0"/>
  </w:font>
  <w:font w:name="Varela Round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bidi w:val="1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bidi w:val="1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bidi w:val="1"/>
      <w:jc w:val="center"/>
      <w:rPr>
        <w:b w:val="1"/>
        <w:color w:val="b7b7b7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bidi w:val="1"/>
      <w:spacing w:line="360" w:lineRule="auto"/>
    </w:pPr>
    <w:rPr>
      <w:rFonts w:ascii="Arial" w:cs="Arial" w:eastAsia="Arial" w:hAnsi="Arial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Medium-regular.ttf"/><Relationship Id="rId2" Type="http://schemas.openxmlformats.org/officeDocument/2006/relationships/font" Target="fonts/AssistantMedium-bold.ttf"/><Relationship Id="rId3" Type="http://schemas.openxmlformats.org/officeDocument/2006/relationships/font" Target="fonts/Assistant-regular.ttf"/><Relationship Id="rId4" Type="http://schemas.openxmlformats.org/officeDocument/2006/relationships/font" Target="fonts/Assistant-bold.ttf"/><Relationship Id="rId5" Type="http://schemas.openxmlformats.org/officeDocument/2006/relationships/font" Target="fonts/VarelaRound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