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מלא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המגיש</w:t>
      </w:r>
      <w:r w:rsidDel="00000000" w:rsidR="00000000" w:rsidRPr="00000000">
        <w:rPr>
          <w:u w:val="single"/>
          <w:rtl w:val="1"/>
        </w:rPr>
        <w:t xml:space="preserve">/</w:t>
      </w:r>
      <w:r w:rsidDel="00000000" w:rsidR="00000000" w:rsidRPr="00000000">
        <w:rPr>
          <w:u w:val="single"/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היעזרו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הלמידה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צפיתם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הקודם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https://youtu.be/RY07eGwCuUY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לצפייה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מיטבית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מומלץ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איכות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HD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רוצים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לעזור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לנערים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ונערות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במצוקה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זאת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להעביר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חוגים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לצאת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לטיולים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פעילויות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מעצימות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ומהנות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יכולים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להציע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רעיונות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טובים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חלקם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מסחריים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שמסתיימים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co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il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com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וחלקם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ארגונים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ועמותות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שמסתיימים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org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il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ממשלתיים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gov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il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עיריות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muni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il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אחרים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שמסתיימים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למשל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net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me</w:t>
      </w:r>
      <w:r w:rsidDel="00000000" w:rsidR="00000000" w:rsidRPr="00000000">
        <w:rPr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bidi w:val="1"/>
        <w:spacing w:line="360" w:lineRule="auto"/>
        <w:rPr>
          <w:sz w:val="24"/>
          <w:szCs w:val="24"/>
        </w:rPr>
      </w:pPr>
      <w:bookmarkStart w:colFirst="0" w:colLast="0" w:name="_noi2nw6ycar9" w:id="0"/>
      <w:bookmarkEnd w:id="0"/>
      <w:r w:rsidDel="00000000" w:rsidR="00000000" w:rsidRPr="00000000">
        <w:rPr>
          <w:color w:val="073763"/>
          <w:sz w:val="24"/>
          <w:szCs w:val="24"/>
          <w:rtl w:val="1"/>
        </w:rPr>
        <w:t xml:space="preserve">ענו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על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השאלות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spacing w:after="0" w:afterAutospacing="0" w:line="360" w:lineRule="auto"/>
        <w:ind w:left="720" w:righ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תשעה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אתרים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ישראליים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משלושה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סוגים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שונים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שמציעים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פעילויות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במצוקה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למשל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שלושה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ממשלתיים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שלושה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מסחריים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ושלושה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עמותות</w:t>
      </w:r>
      <w:r w:rsidDel="00000000" w:rsidR="00000000" w:rsidRPr="00000000">
        <w:rPr>
          <w:sz w:val="24"/>
          <w:szCs w:val="24"/>
          <w:rtl w:val="1"/>
        </w:rPr>
        <w:t xml:space="preserve">).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* 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הבהרה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אסור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מהרשתות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החברתיות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הבאות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פייסבוק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אינסטגרם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סנאפצ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ט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טיקטוק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spacing w:after="0" w:afterAutospacing="0" w:line="360" w:lineRule="auto"/>
        <w:ind w:left="720" w:righ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חמישה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אתרים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בינלאומיים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שמציעים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פעילויות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במצוקה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החלוקה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הבאה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0" w:afterAutospacing="0" w:line="360" w:lineRule="auto"/>
        <w:ind w:left="1440" w:righ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מאירופה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רצוי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מדינות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שונות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after="0" w:afterAutospacing="0" w:line="360" w:lineRule="auto"/>
        <w:ind w:left="1440" w:righ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מארצות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הברית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after="240" w:line="360" w:lineRule="auto"/>
        <w:ind w:left="1440" w:righ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מאוסטרליה</w:t>
      </w:r>
    </w:p>
    <w:p w:rsidR="00000000" w:rsidDel="00000000" w:rsidP="00000000" w:rsidRDefault="00000000" w:rsidRPr="00000000" w14:paraId="00000013">
      <w:pPr>
        <w:bidi w:val="1"/>
        <w:spacing w:after="240" w:line="360" w:lineRule="auto"/>
        <w:ind w:left="1440" w:righ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spacing w:line="360" w:lineRule="auto"/>
        <w:ind w:left="720" w:right="720" w:hanging="360"/>
      </w:pPr>
      <w:r w:rsidDel="00000000" w:rsidR="00000000" w:rsidRPr="00000000">
        <w:rPr>
          <w:sz w:val="24"/>
          <w:szCs w:val="24"/>
          <w:rtl w:val="1"/>
        </w:rPr>
        <w:t xml:space="preserve">קיבלתם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מימון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לנסיעה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לארצות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הברית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ונערה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במצוקה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החופש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הגדול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הנער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בפארקי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שעשועים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הנערה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מעדיפה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להצגות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שניהם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אוהבים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ספורט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ומשחקי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מחשב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עקב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תקציב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הנסיעה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כרוכה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במספר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אילוצים</w:t>
      </w:r>
      <w:r w:rsidDel="00000000" w:rsidR="00000000" w:rsidRPr="00000000">
        <w:rPr>
          <w:sz w:val="24"/>
          <w:szCs w:val="24"/>
          <w:rtl w:val="0"/>
        </w:rPr>
        <w:t xml:space="preserve">. </w:t>
        <w:br w:type="textWrapping"/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עליכם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למצוא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bidi w:val="1"/>
        <w:spacing w:line="360" w:lineRule="auto"/>
        <w:ind w:left="1440" w:right="526.0629921259857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שלושה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פארקי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שעשועים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הברית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אורלנדו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אנג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לס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bidi w:val="1"/>
        <w:spacing w:line="360" w:lineRule="auto"/>
        <w:ind w:left="1440" w:righ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שלוש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הצגות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יורק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בברודוויי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bidi w:val="1"/>
        <w:spacing w:line="360" w:lineRule="auto"/>
        <w:ind w:left="1440" w:righ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שלוש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פעילויות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ספורט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בבוסטון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בלבד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שנכתב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בחודש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360" w:lineRule="auto"/>
        <w:ind w:left="720" w:righ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spacing w:line="360" w:lineRule="auto"/>
        <w:ind w:left="720" w:right="-40.8661417322827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כמתנת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פרידה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ברצונכם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לרכוש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ולנערה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מקלדת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גיימרים</w:t>
      </w:r>
      <w:r w:rsidDel="00000000" w:rsidR="00000000" w:rsidRPr="00000000">
        <w:rPr>
          <w:sz w:val="24"/>
          <w:szCs w:val="24"/>
          <w:rtl w:val="1"/>
        </w:rPr>
        <w:t xml:space="preserve"> </w:t>
        <w:br w:type="textWrapping"/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gaming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keyboard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mechanical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keyboard</w:t>
      </w:r>
      <w:r w:rsidDel="00000000" w:rsidR="00000000" w:rsidRPr="00000000">
        <w:rPr>
          <w:sz w:val="24"/>
          <w:szCs w:val="24"/>
          <w:rtl w:val="1"/>
        </w:rPr>
        <w:t xml:space="preserve">). </w:t>
      </w:r>
      <w:r w:rsidDel="00000000" w:rsidR="00000000" w:rsidRPr="00000000">
        <w:rPr>
          <w:sz w:val="24"/>
          <w:szCs w:val="24"/>
          <w:rtl w:val="1"/>
        </w:rPr>
        <w:t xml:space="preserve">לרשותכם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100 </w:t>
      </w:r>
      <w:r w:rsidDel="00000000" w:rsidR="00000000" w:rsidRPr="00000000">
        <w:rPr>
          <w:sz w:val="24"/>
          <w:szCs w:val="24"/>
          <w:rtl w:val="1"/>
        </w:rPr>
        <w:t xml:space="preserve">דולר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למקלדת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בסך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הכול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200 </w:t>
      </w:r>
      <w:r w:rsidDel="00000000" w:rsidR="00000000" w:rsidRPr="00000000">
        <w:rPr>
          <w:sz w:val="24"/>
          <w:szCs w:val="24"/>
          <w:rtl w:val="1"/>
        </w:rPr>
        <w:t xml:space="preserve">דולר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לשתיהן</w:t>
      </w:r>
      <w:r w:rsidDel="00000000" w:rsidR="00000000" w:rsidRPr="00000000">
        <w:rPr>
          <w:sz w:val="24"/>
          <w:szCs w:val="24"/>
          <w:rtl w:val="1"/>
        </w:rPr>
        <w:t xml:space="preserve">).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מצאו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שלושה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דגמים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מתאימים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מקלדות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כאלה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עולות</w:t>
      </w:r>
      <w:r w:rsidDel="00000000" w:rsidR="00000000" w:rsidRPr="00000000">
        <w:rPr>
          <w:sz w:val="24"/>
          <w:szCs w:val="24"/>
          <w:rtl w:val="1"/>
        </w:rPr>
        <w:t xml:space="preserve">?</w:t>
        <w:br w:type="textWrapping"/>
      </w:r>
    </w:p>
    <w:p w:rsidR="00000000" w:rsidDel="00000000" w:rsidP="00000000" w:rsidRDefault="00000000" w:rsidRPr="00000000" w14:paraId="0000001A">
      <w:pPr>
        <w:bidi w:val="1"/>
        <w:spacing w:after="240" w:line="360" w:lineRule="auto"/>
        <w:ind w:left="720" w:right="72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Style w:val="Heading1"/>
      <w:bidi w:val="1"/>
      <w:ind w:left="-283.4645669291342" w:right="-324.3307086614169" w:firstLine="0"/>
      <w:rPr/>
    </w:pPr>
    <w:bookmarkStart w:colFirst="0" w:colLast="0" w:name="_9hi6r6ubdafn" w:id="1"/>
    <w:bookmarkEnd w:id="1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-44287</wp:posOffset>
          </wp:positionH>
          <wp:positionV relativeFrom="page">
            <wp:posOffset>114300</wp:posOffset>
          </wp:positionV>
          <wp:extent cx="7648575" cy="21907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>
                    <a:alphaModFix amt="18000"/>
                  </a:blip>
                  <a:srcRect b="57009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7648575" cy="2190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1"/>
      </w:rPr>
      <w:t xml:space="preserve">שיעור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מס</w:t>
    </w:r>
    <w:r w:rsidDel="00000000" w:rsidR="00000000" w:rsidRPr="00000000">
      <w:rPr>
        <w:rtl w:val="1"/>
      </w:rPr>
      <w:t xml:space="preserve">' 3 -</w:t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228600</wp:posOffset>
          </wp:positionH>
          <wp:positionV relativeFrom="page">
            <wp:posOffset>864654</wp:posOffset>
          </wp:positionV>
          <wp:extent cx="1985963" cy="140705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14070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מתקדמים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בחיפושים</w:t>
    </w:r>
    <w:r w:rsidDel="00000000" w:rsidR="00000000" w:rsidRPr="00000000">
      <w:rPr>
        <w:rtl w:val="1"/>
      </w:rPr>
      <w:t xml:space="preserve"> - </w:t>
    </w:r>
    <w:r w:rsidDel="00000000" w:rsidR="00000000" w:rsidRPr="00000000">
      <w:rPr>
        <w:rtl w:val="1"/>
      </w:rPr>
      <w:t xml:space="preserve">החיפוש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המתקדם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של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גוגל</w:t>
    </w:r>
    <w:r w:rsidDel="00000000" w:rsidR="00000000" w:rsidRPr="00000000">
      <w:rPr>
        <w:rtl w:val="1"/>
      </w:rPr>
      <w:t xml:space="preserve"> </w:t>
    </w:r>
  </w:p>
  <w:p w:rsidR="00000000" w:rsidDel="00000000" w:rsidP="00000000" w:rsidRDefault="00000000" w:rsidRPr="00000000" w14:paraId="0000001C">
    <w:pPr>
      <w:pStyle w:val="Heading1"/>
      <w:bidi w:val="1"/>
      <w:ind w:left="-283.4645669291342" w:firstLine="0"/>
      <w:rPr>
        <w:sz w:val="38"/>
        <w:szCs w:val="38"/>
      </w:rPr>
    </w:pPr>
    <w:bookmarkStart w:colFirst="0" w:colLast="0" w:name="_5dhbgxsjjo6w" w:id="2"/>
    <w:bookmarkEnd w:id="2"/>
    <w:r w:rsidDel="00000000" w:rsidR="00000000" w:rsidRPr="00000000">
      <w:rPr>
        <w:rtl w:val="1"/>
      </w:rPr>
      <w:t xml:space="preserve">משימה</w:t>
    </w:r>
    <w:r w:rsidDel="00000000" w:rsidR="00000000" w:rsidRPr="00000000">
      <w:rPr>
        <w:rtl w:val="1"/>
      </w:rPr>
      <w:t xml:space="preserve"> 2 -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סיוע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לנוער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במצוקה</w:t>
    </w:r>
    <w:r w:rsidDel="00000000" w:rsidR="00000000" w:rsidRPr="00000000">
      <w:rPr>
        <w:sz w:val="38"/>
        <w:szCs w:val="38"/>
        <w:rtl w:val="0"/>
      </w:rPr>
      <w:t xml:space="preserve">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bidi w:val="1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1440" w:hanging="360"/>
      </w:pPr>
      <w:rPr>
        <w:color w:val="007da9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iw"/>
      </w:rPr>
    </w:rPrDefault>
    <w:pPrDefault>
      <w:pPr>
        <w:bidi w:val="1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Rubik" w:cs="Rubik" w:eastAsia="Rubik" w:hAnsi="Rubik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youtu.be/RY07eGwCuUY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