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490.0" w:type="dxa"/>
        <w:jc w:val="left"/>
        <w:tblInd w:w="-1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8"/>
        <w:gridCol w:w="1196"/>
        <w:gridCol w:w="947"/>
        <w:gridCol w:w="6049"/>
        <w:tblGridChange w:id="0">
          <w:tblGrid>
            <w:gridCol w:w="1298"/>
            <w:gridCol w:w="1196"/>
            <w:gridCol w:w="947"/>
            <w:gridCol w:w="6049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אינ</w:t>
                </w:r>
              </w:sdtContent>
            </w:sdt>
            <w:sdt>
              <w:sdtPr>
                <w:tag w:val="goog_rdk_9"/>
              </w:sdtPr>
              <w:sdtContent>
                <w:commentRangeStart w:id="0"/>
              </w:sdtContent>
            </w:sdt>
            <w:sdt>
              <w:sdtPr>
                <w:tag w:val="goog_rdk_10"/>
              </w:sdtPr>
              <w:sdtContent>
                <w:commentRangeStart w:id="1"/>
              </w:sdtContent>
            </w:sdt>
            <w:sdt>
              <w:sdtPr>
                <w:tag w:val="goog_rdk_11"/>
              </w:sdtPr>
              <w:sdtContent>
                <w:commentRangeStart w:id="2"/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טגר</w:t>
                </w:r>
              </w:sdtContent>
            </w:sdt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ציה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מסכם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אינטגרציה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240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סעיפים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1- 8</w:t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240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0" w:date="2023-02-15T19:08:07Z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שעקרונית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ניסוחי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השגיאות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שציוני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המתכונת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הסופיים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יועתקו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להרוויח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תירגול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איחוד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המאוחדת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למיזוג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מהתשובות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הגהה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השיקולים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בחריגים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בפתרון</w:t>
      </w:r>
    </w:p>
  </w:comment>
  <w:comment w:author="Noy Radow" w:id="1" w:date="2023-06-12T22:03:25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שמשתמשים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בתעשייה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הלשוניים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ייעשו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טופל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Noy Radow" w:id="2" w:date="2023-06-13T11:08:51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טופלו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  <w15:commentEx w15:paraId="0000001C" w15:paraIdParent="00000015" w15:done="0"/>
  <w15:commentEx w15:paraId="0000001D" w15:paraIdParent="0000001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30439947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0345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345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uugFFg2X3HfWHWHbiQYS/1aqw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woBORIiCiAIBCocCgtBQUFBcENqdU1HTRAIGgtBQUFBcENqdU1HTRooCgIxMBIiCiAIBCocCgtBQUFBcENqdU1HTRAIGgtBQUFBeV9sMENaSRooCgIxMRIiCiAIBCocCgtBQUFBcENqdU1HTRAIGgtBQUFBeV9rd0tIVR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