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מערך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שיעור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הסובלנות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במדינת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היחידה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מיועדת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לחטיבה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העליונה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מבוא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יסוד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ומקור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השם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צמחה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האסלאם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בתחילת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המאה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-11.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מקורה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באסמאעיליה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השיעית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פלג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השיעים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נחשבת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כאמונה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שפרשה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מהאסלאם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ליף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מצרי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משפחת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פאטמה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אבו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עזיז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נודע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בכינויו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הערבי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חאכם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באמר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אללה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=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המושל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בצו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אלוהי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996-1020.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שלטונו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הפך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חאכם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באמר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לקנאי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לדתו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והחל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לרדוף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מסלמים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הוצאת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גזירות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קשות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היהודים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והנוצרים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הכריז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כנביא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וכהתגלות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הרוח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האלוהית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1017,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לתחילת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התאריך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חאכם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מינה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חמזה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למפיץ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תורתו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ובשל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חמזה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כמייסד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אנשי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מצרים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לעגו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לדעות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המוזרות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שליטם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שהאמינו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וביניהם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אסמאעיל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דרזי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המסורת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סיפר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החדשה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במסגד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במצרים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כעסו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ורדפו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אחריו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שברח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לאזור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החרמון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והלבנון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מצא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שהלכו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בדרכיו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ונקראו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שמו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דרוזים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ניסה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לתפוס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מקומו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חמזה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מנהיג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החדשה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הפסיד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נידו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מהקהילה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והוצא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נגדו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גזר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מוות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הפצת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נמשכה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קצר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1030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ומאז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התקבלו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מאמינים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חדשים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הפצת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נפסקה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היריבות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חמזה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ובשל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היעלמותו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חאכם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באמר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התכנסה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עצמה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סודה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וייחודה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סודית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ועיקריה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ידועים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לחכמי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הנקראים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עקאל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ומשמשים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כמנהיגיה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המאמינים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המנהיגים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הפוליטיים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חייבים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לדעת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סודות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ונקראים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האל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עיקרי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האמונה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האמונה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מתרבה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מתמעט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חאכם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הוריד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פתקה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סרט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ארוך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מהשמיים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נרשמו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המאמינים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ננעלו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שערי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האמונה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נרשם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בזמנו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להירשם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הסיבות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מאמינים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בגלגול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נשמות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עיקרון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השוויון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והצדק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המעמדי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הנשמה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מתגלגלת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המעמדות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וכך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להפוך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לעשיר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האמונה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נקראת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תוחיד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אמונת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הייחוד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אומרת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מונותיאיזם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מחמיר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מאמינים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להגדרה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לתפיסה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חסר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ישות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פיזית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וחסר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צלם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תכונה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אנושית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מאמינים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שהעולם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נברא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באמירה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!"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שכן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זקוק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לשישה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ובודאי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זקוק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מנוחה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פרשו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מהאסלאם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עיקרית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שמבחינתם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מחמד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נביא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האסלאם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חותם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הנביאים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הנביא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כתבי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קודש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משלהם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ומצוות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חלופיות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טוענים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שבכל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תקופה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פעלה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ליד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הנביא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דמות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מסתורית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שלימדה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האמיתית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ליחידי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סגולה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שמרו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מכאן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היתה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בתקופת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הנביא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שעיב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הנזכר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בקוראן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ומכאן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נבי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שעיב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לציין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מפרשים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שעיב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יתרו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-130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נפש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הגולן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המהווים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-1.7%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מהאוכלוסייה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במדינה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האוכלוסייה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כפרית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ומרביתה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מתגוררת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במחוזות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הצפון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(70%)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וחיפה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(25%).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השפיעו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התהוות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הזהות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שנכתב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במבוא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שמרו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בקנאות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אמונתם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ודתם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וחיו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במקומות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הרריים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מרוחקים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בהרי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צפון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סוריה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לבנון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והגליל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וכך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בעצם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שמרו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ייחודם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יחס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סובלני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לבני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דתות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להתהוות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זהות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ייחודית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המקור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האתני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ברור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ומעורר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מחלוקת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החוקרים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שפת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ערבית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דיאלקטים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במבנה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חמולתי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והפולקלור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ומורשת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התרבות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מזרחים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הושפעו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מתרבויות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במדינות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חיו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הצליחו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זהותם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הייחודית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השילוב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מנהיגות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נבונה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מספרם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המועט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מגוריהם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באזורים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מרוחקים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וקרבתם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למרכז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המסורתי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בלבנון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יחס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מדינת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לדרוזים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הצליחו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זהותם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הייחודית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השילוב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מנהיגות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נבונה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מספרם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המועט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מגוריהם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באזורים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מרוחקים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וקרבתם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למרכז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המסורתי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בלבנון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מדינת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סייעה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זהות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בסיס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ותמכה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בהקמתם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מוסדות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מאפשרת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לרשום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המילה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דרוזי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כלאום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בתעודת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הזהות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ויישמה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לבקשתם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גיוס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הגברים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זרמים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עיקריים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לזהות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הזרם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המרכזי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בחברה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הטוען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קבוצה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אתנית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דתית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ייחודית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הנבדלת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מהערבים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ועליהם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ייחודם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להתבולל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הזיקה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הערבים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נובעת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מהשפה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הערבית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המשותפת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מרכיב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מדיני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זהותם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אזרחית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ישראלית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לאומית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ערבית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התומכים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בזרם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מצביעים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בבחירות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למפלגות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ציוניות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מממשים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חובת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הגיוס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לצה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הזרם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המשני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מיעוט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בחברה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הטוען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נפרד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מהעם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הפלסטיני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ומהאומה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הערבית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התומכים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בזרם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רואים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העומד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בפני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במנותק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מהעולם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הערבי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העובדה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מדברים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בשפה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הערבית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בחברה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1"/>
        </w:rPr>
        <w:t xml:space="preserve">הדרוזית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המסגרת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המשפחתית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מסורתית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מורחבת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שאפיינה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בעבר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מתרופפת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מקומה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הולכת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ותופסת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הגרעינית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הכוללת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זוג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ההורים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וילדיהם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נשואים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הגורמים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בחברה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הצבאי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בניגוד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לנוצרים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ולמסלמים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משרתים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בצה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שיעור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גיוס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גבוה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83%).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שירותו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מתוודע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לאורח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מזה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מורגל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בכפר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וזיקתו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לחמולה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נחלשת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הקשרים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העיר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הסמוכה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לכפר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מגוריהם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שנוצרו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צרכי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בילויים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שהצעירים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נחשפים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להשפעת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התרבות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המערבית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המודרנית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עלייה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ההשכלה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גורמת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שהדור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הצעיר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בדר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משכיל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מדור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האבות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ההשכלה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מביאה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בראיית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תפקיד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המערבית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המודרנית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ירידת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משקלה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החקלאות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כמקור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הפרנסה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העיקרי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ופנייה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למקורות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פרנסה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המצויים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ליישוב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מאפשר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לבני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הצעיר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להשתחרר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מהתלות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הכלכלית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באב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עיור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בחברה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מתחולל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מהיר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עיור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שעוזב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הכפר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ומנתק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מהחברה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שבוחר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לחיות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העולמות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בהנהגה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בחברה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מהנהגה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מסורתית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להנהגה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צעירה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ומשכילה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צעירים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שהגיעו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למשרות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בכירות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בשירותי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הביטחון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מפעלים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קבלנים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ראשי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מועצות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מקומיות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כנסת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סופרים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אמנים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ועיתונאים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דוגמה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למנהיגות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השיח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אמין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טריף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(1896-1993):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שיח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טריף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מילא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תפקיד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בחיי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ובישראל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בפרט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הקדיש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חייו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להכוונת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לשלום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ולדו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ולטיפול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בבעיות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היומיום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להשגת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מעמד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אוטונומי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לעדה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הנוגע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ולדיני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אישות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בדומה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למצב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בסוריה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ובלבנון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1963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הוקם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לערעורים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בראשותו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השיח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טריף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בשנת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1990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הוענק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לשיח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טריף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פרס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תרומתו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לעדה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ולחברה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/>
        <w:drawing>
          <wp:inline distB="0" distT="0" distL="114300" distR="114300">
            <wp:extent cx="1923415" cy="287718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877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114300" distR="114300">
            <wp:extent cx="3143885" cy="235585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235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שיח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אמין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טריף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(1950) -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ויקיפדיה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קברו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השיח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וליס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שבגליל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(2011) -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ויקיפדיה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תמונה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                      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תמונה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ברשיון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ייחוס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Hanay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by)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להכיר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הזהות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יחסם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למדינה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סרטונים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מומלצים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1"/>
        </w:rPr>
        <w:t xml:space="preserve">לצפייה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נאן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פראג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פלאח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מרצה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שמירה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מהתבוללות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והעקאל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גלגול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נשמות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חגי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הסרטון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מלווה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בתמונות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http://citizenship.cet.ac.il/ShowItem.aspx?ItemID=0ddf0f5a-d3b7-467a-8dd2-6134d6931d22&amp;lang=HEB</w:t>
        </w:r>
      </w:hyperlink>
      <w:r w:rsidDel="00000000" w:rsidR="00000000" w:rsidRPr="00000000">
        <w:fldChar w:fldCharType="begin"/>
        <w:instrText xml:space="preserve"> HYPERLINK "http://citizenship.cet.ac.il/ShowItem.aspx?ItemID=0ddf0f5a-d3b7-467a-8dd2-6134d6931d22&amp;lang=HEB"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נאן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פראג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פלאח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מרצה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האישה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בעידן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המודרני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http://ganenet.cet.ac.il/ShowItem.aspx?ItemID=760a5665-9042-4394-99d1-45dcb269131a&amp;lang=HEB</w:t>
        </w:r>
      </w:hyperlink>
      <w:r w:rsidDel="00000000" w:rsidR="00000000" w:rsidRPr="00000000">
        <w:fldChar w:fldCharType="begin"/>
        <w:instrText xml:space="preserve"> HYPERLINK "http://ganenet.cet.ac.il/ShowItem.aspx?ItemID=760a5665-9042-4394-99d1-45dcb269131a&amp;lang=HEB"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דיוקן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להכיר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חסיסי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הזהות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http://www.sharedlife.org.il/ShowItem.aspx?ItemID=c74d7562-4a8a-4aea-807b-9cb6766daf93&amp;lang=HEB</w:t>
        </w:r>
      </w:hyperlink>
      <w:r w:rsidDel="00000000" w:rsidR="00000000" w:rsidRPr="00000000">
        <w:fldChar w:fldCharType="begin"/>
        <w:instrText xml:space="preserve"> HYPERLINK "http://www.sharedlife.org.il/ShowItem.aspx?ItemID=c74d7562-4a8a-4aea-807b-9cb6766daf93&amp;lang=HEB"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דיוקן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להכיר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אשרף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מרואן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ושאפיק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דרוזים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הזהות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הגיוס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לצה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http://citizenship.cet.ac.il/ShowItem.aspx?ItemID=6cb97485-7641-40af-8475-cd9534f3894e&amp;lang=HEB</w:t>
        </w:r>
      </w:hyperlink>
      <w:r w:rsidDel="00000000" w:rsidR="00000000" w:rsidRPr="00000000">
        <w:fldChar w:fldCharType="begin"/>
        <w:instrText xml:space="preserve"> HYPERLINK "http://citizenship.cet.ac.il/ShowItem.aspx?ItemID=6cb97485-7641-40af-8475-cd9534f3894e&amp;lang=HEB"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/>
        <w:drawing>
          <wp:inline distB="0" distT="0" distL="114300" distR="114300">
            <wp:extent cx="3086100" cy="20574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הדגל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הדרוזי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ויקיפדיה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תמונה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הפאטימים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ייחסו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מוצאם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לפאטמה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בתו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מחמד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נביא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האסלאם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והיו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מסלמים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שיעים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אסמאעיליים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חריגים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משפחות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ונבלט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וארסלאן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בלבנון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עריכה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המאמר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הדרוזים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בעריכת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מוניר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עטאר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ערכיה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מדעית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צבי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צמרת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עיבוד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להוראה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דנה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שטרקמן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cs="Arial" w:eastAsia="Arial" w:hAnsi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cs="Arial" w:eastAsia="Arial" w:hAnsi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cs="Arial" w:eastAsia="Arial" w:hAnsi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1033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haredlife.org.il/ShowItem.aspx?ItemID=c74d7562-4a8a-4aea-807b-9cb6766daf93&amp;lang=HEB" TargetMode="External"/><Relationship Id="rId10" Type="http://schemas.openxmlformats.org/officeDocument/2006/relationships/hyperlink" Target="http://ganenet.cet.ac.il/ShowItem.aspx?ItemID=760a5665-9042-4394-99d1-45dcb269131a&amp;lang=HEB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://citizenship.cet.ac.il/ShowItem.aspx?ItemID=6cb97485-7641-40af-8475-cd9534f3894e&amp;lang=HE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itizenship.cet.ac.il/ShowItem.aspx?ItemID=0ddf0f5a-d3b7-467a-8dd2-6134d6931d22&amp;lang=HEB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