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vertAlign w:val="baseline"/>
          <w:rtl w:val="1"/>
        </w:rPr>
        <w:t xml:space="preserve">عيد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vertAlign w:val="baseline"/>
          <w:rtl w:val="1"/>
        </w:rPr>
        <w:t xml:space="preserve">الأضحى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בשנה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תשע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: 12-16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באוקטובר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vertAlign w:val="baseline"/>
          <w:rtl w:val="1"/>
        </w:rPr>
        <w:t xml:space="preserve">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יחידת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הוראה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המרכז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חינוך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בונה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חברה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vertAlign w:val="baseline"/>
          <w:rtl w:val="1"/>
        </w:rPr>
        <w:t xml:space="preserve">מכילה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1"/>
        </w:rPr>
        <w:t xml:space="preserve">מטרות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1"/>
        </w:rPr>
        <w:t xml:space="preserve">ההוראה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הפגשת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והתרבות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המדינות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העמים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הסובבים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אותנו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כולל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החברה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הערבית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מסלמית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במדינת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הפגשת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מבחר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עשיר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מקורות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טקסטואלים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אינטרנטיים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הבנת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הדת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והתרבות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המסלמית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והשפעתן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המאמינים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הבנת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המקורות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התרבותיים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והדתיים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המסלמים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עידוד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המפגש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וההידברות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עמם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הבנת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מושגי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יסוד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במורשת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הערבית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ובדת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האסלאם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הכרת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נקודות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מפגש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התרבות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הערבית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לתרבות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היהודית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קישור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חומרי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הלמידה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לדינמיות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התקופה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ולאירועים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המתרחשים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באזור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firstLine="0"/>
        <w:jc w:val="center"/>
        <w:rPr/>
      </w:pPr>
      <w:r w:rsidDel="00000000" w:rsidR="00000000" w:rsidRPr="00000000">
        <w:rPr/>
        <w:drawing>
          <wp:inline distB="0" distT="0" distL="114300" distR="114300">
            <wp:extent cx="4792980" cy="133286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1332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center"/>
        <w:rPr/>
      </w:pPr>
      <w:r w:rsidDel="00000000" w:rsidR="00000000" w:rsidRPr="00000000">
        <w:rPr/>
        <w:drawing>
          <wp:inline distB="0" distT="0" distL="114300" distR="114300">
            <wp:extent cx="3486785" cy="221043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210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באסלאם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החובה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לרגל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למכה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פעם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ממצוות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היסוד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חמש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חלה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מסלמי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ומסלמית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בריאים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בגוף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ובנפש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שבאפשרותו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לעלות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לרגל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זוהי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אללה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סורת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עמרם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,3,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פסוק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97)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בסופו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',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יוצאים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ממצב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האחראם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קדושה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ומקריבים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זבח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משפחתי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שלישים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לצדקה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זהו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אצ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1"/>
        </w:rPr>
        <w:t xml:space="preserve">חא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הנמשך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ארבעה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בכך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יוצא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עולה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הרגל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ממצב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האחראם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שאליו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נכנס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בתחילת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העלייה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לרגל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וחוזר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לחייו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הקודמים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עולי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הרגל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מעדיפים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למכה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להצטייד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במי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מעיין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הזמזם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ולהקיף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הכעבה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הקפה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אחרונה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בדרכם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חזרה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לבתיהם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עוצרים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בעיר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מדינה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לערוך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הזיארה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ביקור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דתי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בקברו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הנביא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מחמד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חוגגים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רחבי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המסלמי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מכונה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 (=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כביר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נחר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קרבאן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ועיד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פטר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הקטן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נחגג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חודש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הרמדאן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מהווים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החגים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היחידים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באסלאם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חשוב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לציין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שחגים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אלה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קשורים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לעונות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שכן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המסלמי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מעובר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והחג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נודד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לעונה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במאמרה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פרופ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חוה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לצרוס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החגים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באסלאם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 (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קובץ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חקרי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המזרח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")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כתוב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בעיד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אדחא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נהוג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הזבח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המשפחתי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הנקרא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שאיננו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שוחטים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כבש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לנפש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וגמל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בקר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לקבוצה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משפחתית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עיקר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הזבח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לצדקה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שגם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הזובח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ובני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יאכלו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בימינו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נהוג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להמיר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זבח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בארוחה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משפחתית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חגיגית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המלווה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צדקה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בכסף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לעניים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חכמי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התנגדו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המפגע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התברואתי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העצום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בימינו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כשמאות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עולי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הרגל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מצטופפים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בגבעת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מינא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הקטנה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תאר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ההבדל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חג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המקורית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לזו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הנהוגה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בימינו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בקטע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מדוע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במצוות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? (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התנגדות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חכמי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ההלכה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לקרוא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שיחות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דת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האסלאם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חוה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לצרוס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יפה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האונ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המשודרת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מתחיל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שנחוג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מיליוני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מסלמים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בעולם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זכו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למכה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מתבטא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צדקה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ובתפילה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מיוחדת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במינא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נשחט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שבעצם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זבח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משפחתי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שעיקרו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למטרות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צדקה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האסלאם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בקרבנות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ובהקשר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מטעה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בשנים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שחיטת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הזבח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במינא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לבעיה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תברואתית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להתגבר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ריבוי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עולי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הרגל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חכמי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הדת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מסרבים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להתיר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צדקה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הזבח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המשפחתי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מרחיקי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לכת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במנהגים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עתיקים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דרכו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המסלמי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מסופר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הקרבת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להקריב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בבוקר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הקרבת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מצווה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רצויה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מסלמית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שאנשיה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מסוגלים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מצווה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כלכלית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מעלת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הנביא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השחיטה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דמן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יישפך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הקרקע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ולכם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נחת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רוח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מכך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מנהג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חשבו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סיבות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למנהג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הקרבת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חג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בספר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דרכו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המסלמי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מסופר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טעמי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התקרבות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יתעלה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שכן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נאמר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בקוראן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התפלל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לאלוהיך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ושחט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החייאת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מעשהו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השלום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כשציווה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לשחוט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ישמעאל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פדה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בכבש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שחטו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במקומו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הבאת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רווחה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לבני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המשפחה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מיועד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לסעודת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וגילוי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מידת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רחמים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העניים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והמסכנים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מחלקים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מבשר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הודייה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יתעלה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הבהמה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ששיעבד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איכלו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והאכילו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פושט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היד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שכשל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חפץ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בבשר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מכם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יראת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שמיים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מנהגי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החגים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המתלווים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לתפילה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לקורבן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מסופר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בספרים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דרכו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המסלמי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וב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החינוך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הדתי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תפילה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ביומו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קריאת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פסוקי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קוראן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הקברות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רחצה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התבשמות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ולבישת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בגדים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נאים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קניית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בגדים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המשפחה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אכילה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התפילה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התפילה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מדרך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וחזרה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מדרך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המסלמי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מאחל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האל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תפילתנו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תפילתך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נתינת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צדקה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לעניים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ביקורים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רעהו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חגיגות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משפחתיות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וקהילתיות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אכילה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שתייה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ובילויים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הסולידאריות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האסלאמית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עיד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אדחא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במישור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האחדות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האסלאמית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ובמישור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החברתי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באנציקלופדיה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מאיר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נתיב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היהדות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מקדים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בשלושה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עונג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ושמחה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איזהו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כסות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נקיה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מלבושך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כמלבושך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חול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איזהו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עונג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סעודות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בלילה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ואחת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והדלקת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הנר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אורה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לענג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ושימחת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מצווה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שבית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המקדש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השמחה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באכילת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הקורבנות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וכתב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הרמב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שהשמחה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קורבן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שלמים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שימחה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לשמוח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ובניו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ובני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כראוי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הקטנים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נותנים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קליות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ואגוזים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ומגדנות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והנשים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קונות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בגדים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ותכשיטין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נאים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ממונו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והאנשים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אוכלים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ושותים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יין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וכשהוא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ושותה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להאכיל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לגר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וליתום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ולאלמנה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העניים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u w:val="single"/>
          <w:vertAlign w:val="baseline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מצא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הדומה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והשונה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מנהגי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ביהדות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ובאסלאם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1"/>
        </w:rPr>
        <w:t xml:space="preserve">קישורים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1"/>
        </w:rPr>
        <w:t xml:space="preserve">מומלצים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1"/>
        </w:rPr>
        <w:t xml:space="preserve">להוראת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1"/>
        </w:rPr>
        <w:t xml:space="preserve">היחידה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bookmarkStart w:colFirst="0" w:colLast="0" w:name="_gjdgxs" w:id="0"/>
      <w:bookmarkEnd w:id="0"/>
      <w:hyperlink r:id="rId9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http://www.youtube.com/watch?v=VArS-yLmMoQ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סרטון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bookmarkStart w:colFirst="0" w:colLast="0" w:name="_30j0zll" w:id="1"/>
      <w:bookmarkEnd w:id="1"/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http://www.youtube.com/watch?v=My_QWW9sqF8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סרטון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החג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bookmarkStart w:colFirst="0" w:colLast="0" w:name="_1fob9te" w:id="2"/>
      <w:bookmarkEnd w:id="2"/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vertAlign w:val="baseline"/>
            <w:rtl w:val="0"/>
          </w:rPr>
          <w:t xml:space="preserve">http://lib.cet.ac.il/pages/item.asp?item=14480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bookmarkStart w:colFirst="0" w:colLast="0" w:name="_3znysh7" w:id="3"/>
      <w:bookmarkEnd w:id="3"/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http://www.ynet.co.il/articles/0,7340,L-4144529,00.html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תמונות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מחג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הקורבן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YNET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58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אלאדחא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מאת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הודא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אבו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חמיד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סוציולוגית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ופעילה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1"/>
        </w:rPr>
        <w:t xml:space="preserve">חברתית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-5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480" w:lineRule="auto"/>
        <w:ind w:left="-58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ידידים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מוסלמים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כדאי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לברך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בימים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הקרובים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בברכה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המקובלת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עאם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ואנתם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בטוב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שישי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הקרוב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יתחיל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אצלנו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המוסלמים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אלאדחא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הנחוג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מבקשת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להציג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לשכנינו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היהודים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שתופתעו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מהדמיון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שבבסיס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לסיפור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תנ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שמו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נתן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מסיפור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עקדת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ישמעאל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המקביל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לסיפור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עקדת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יצחק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המופיע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בתנ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הקוראן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הנביא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אברהם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שחלם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שוחט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הפרשנות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המוסלמית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קובעת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שהבן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ישמעאל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ומעלה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קורבן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לאללה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אברהם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סיפר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והבן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הגיב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שעל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אביו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בחלום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צוו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אלוהי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ולהקריב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לעולה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הנביא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אברהם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קיבל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הפירוש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הלך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ערפאת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במכה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והתכוון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לשחוט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להוכיח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אמונתו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החזקה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באללה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ושלח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לנביא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אברהם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כבש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שאותו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ישחט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בתעתיק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מערבית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عيد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الاضحى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בעצם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לקרוא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אלאצ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מכונה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אצלנו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להבדיל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מעיד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פיטר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הקטן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עיד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אלאדחא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מציין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הזמן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למצוות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העלייה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לרגל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נחגג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מהיום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העשירי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החודש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האחרון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בלוח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המוסלמי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חיג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לכן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המנהג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הראשי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המקובל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בעיד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אלאדחא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עלייה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למכה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הקוראן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התרחש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סיפור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העקדה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תחילת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צום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חמישי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שנקרא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ערפה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ווקפת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ערפה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לקראת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נוהגים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לקנות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בגדים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חדשים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המשפחה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מקיימים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תפילת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ובהמשך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קוראים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פסוקים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מהקוראן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בבתי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הקברות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בימי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עורכים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חגיגות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משפחתיות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שוחטים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ממש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במכה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טלה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כבש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בהמה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כזכר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לקורבן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עקדת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ישמעאל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ומכינים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הבשר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לסעודת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וגם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כתרומה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לעניים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שיוכלו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לחגוג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מורה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לחלק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-3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חלקים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למקריב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למשפחתו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והשלישי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לעניים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במשפחה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נהוג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במשפחות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מוסלמיות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רבות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להכין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בחג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ממתקים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עוגות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ממולאות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כבר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מכינה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המצרכים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להכנתם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תמרים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שקדים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בוטנים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ושמנת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ללקק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השפתיים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האצבעות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לכם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ידידים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מוסלמים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כדאי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לברך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בימים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הקרובים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בברכה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המקובלת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עאם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ואנתם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ואנת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המשמעות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בטוב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התשובה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שתקבלו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ואנת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ואנתם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בטוב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לברך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סנה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ואנתם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ואנת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סאלמין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ואתה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בשלום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ייתן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ובמשך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לעיד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אלאדחא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נצליח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במזרח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התיכון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לשלום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אינשאללה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200" w:before="0" w:line="276" w:lineRule="auto"/>
      <w:ind w:left="0" w:firstLine="0"/>
      <w:jc w:val="right"/>
      <w:rPr/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200" w:before="0" w:line="276" w:lineRule="auto"/>
      <w:ind w:left="0" w:firstLine="0"/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לחיות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בארץ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הקודש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להכיר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ולכבד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הוצאת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המרכז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לטכנולוגיה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חינוכית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00" w:line="240" w:lineRule="auto"/>
        <w:ind w:left="0" w:firstLine="0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המוסלמים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נוהגים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לאכול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בחג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בשר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לזכר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הקורבן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אולם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משפחות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שמכינות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ממתקים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עוגות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עגולות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ממולאות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בתמרים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כעכים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ממולאים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בשקדים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ובוטנים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עוגות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שמנת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'.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מנדוב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"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מעשים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רצויים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יענש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יזכה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לשכר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עשייתם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40" w:lineRule="auto"/>
        <w:ind w:left="0" w:firstLine="0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</w:t>
      </w:r>
      <w:hyperlink r:id="rId1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vertAlign w:val="baseline"/>
            <w:rtl w:val="1"/>
          </w:rPr>
          <w:t xml:space="preserve">קוראן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מסופר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</w:t>
      </w:r>
      <w:hyperlink r:id="rId2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vertAlign w:val="baseline"/>
            <w:rtl w:val="1"/>
          </w:rPr>
          <w:t xml:space="preserve">נביא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hyperlink r:id="rId3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vertAlign w:val="baseline"/>
            <w:rtl w:val="1"/>
          </w:rPr>
          <w:t xml:space="preserve">אברהם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המאמין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באלוהים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חלם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שוחט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(</w:t>
      </w:r>
      <w:hyperlink r:id="rId4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vertAlign w:val="baseline"/>
            <w:rtl w:val="1"/>
          </w:rPr>
          <w:t xml:space="preserve">ישמעאל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המסורת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המוסלמית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ומעלה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כקורבן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לאלוהים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סיפר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והבן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השיב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לאביו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שעליו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בחלומו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ציווי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אלוהי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ולהקריב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לעולה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הנביא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אברהם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מיהר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להגשים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החלום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שחלם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הלך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להר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ערפאת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וביקש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לשחוט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להוכיח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חוזק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אמונתו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באלוהים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 </w:t>
      </w:r>
      <w:hyperlink r:id="rId5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vertAlign w:val="baseline"/>
            <w:rtl w:val="1"/>
          </w:rPr>
          <w:t xml:space="preserve">אלוהים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ראה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ושלח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vertAlign w:val="baseline"/>
            <w:rtl w:val="1"/>
          </w:rPr>
          <w:t xml:space="preserve">כבש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שחט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אברהם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במקום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בנו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62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382" w:hanging="360.000000000000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02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22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542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262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982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02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22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62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382" w:hanging="360.000000000000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02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22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542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262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982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02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22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662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382" w:hanging="360.000000000000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02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22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542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262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982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02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22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662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382" w:hanging="360.0000000000001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02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22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542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262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982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02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22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1033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ib.cet.ac.il/pages/item.asp?item=14480" TargetMode="External"/><Relationship Id="rId10" Type="http://schemas.openxmlformats.org/officeDocument/2006/relationships/hyperlink" Target="http://www.youtube.com/watch?v=My_QWW9sqF8" TargetMode="External"/><Relationship Id="rId13" Type="http://schemas.openxmlformats.org/officeDocument/2006/relationships/footer" Target="footer1.xml"/><Relationship Id="rId12" Type="http://schemas.openxmlformats.org/officeDocument/2006/relationships/hyperlink" Target="http://www.ynet.co.il/articles/0,7340,L-4144529,00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VArS-yLmMoQ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he.wikipedia.org/wiki/%D7%A7%D7%95%D7%A8%D7%90%D7%9F" TargetMode="External"/><Relationship Id="rId2" Type="http://schemas.openxmlformats.org/officeDocument/2006/relationships/hyperlink" Target="http://he.wikipedia.org/wiki/%D7%A0%D7%91%D7%99%D7%90" TargetMode="External"/><Relationship Id="rId3" Type="http://schemas.openxmlformats.org/officeDocument/2006/relationships/hyperlink" Target="about:blank" TargetMode="External"/><Relationship Id="rId4" Type="http://schemas.openxmlformats.org/officeDocument/2006/relationships/hyperlink" Target="http://he.wikipedia.org/wiki/%D7%99%D7%A9%D7%9E%D7%A2%D7%90%D7%9C" TargetMode="External"/><Relationship Id="rId5" Type="http://schemas.openxmlformats.org/officeDocument/2006/relationships/hyperlink" Target="http://he.wikipedia.org/wiki/%D7%90%D7%9C%D7%95%D7%94%D7%99%D7%9D" TargetMode="External"/><Relationship Id="rId6" Type="http://schemas.openxmlformats.org/officeDocument/2006/relationships/hyperlink" Target="http://he.wikipedia.org/wiki/%D7%9B%D7%91%D7%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