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5EBB1753" w:rsidR="00F20CE9" w:rsidRDefault="00352FB7" w:rsidP="00C80B20">
      <w:pPr>
        <w:spacing w:after="0" w:line="360" w:lineRule="auto"/>
        <w:jc w:val="center"/>
        <w:rPr>
          <w:rFonts w:ascii="David" w:eastAsia="David" w:hAnsi="David" w:cs="David"/>
          <w:sz w:val="40"/>
          <w:szCs w:val="40"/>
        </w:rPr>
      </w:pPr>
      <w:r>
        <w:rPr>
          <w:rFonts w:ascii="David" w:eastAsia="David" w:hAnsi="David" w:cs="David"/>
          <w:sz w:val="40"/>
          <w:szCs w:val="40"/>
          <w:rtl/>
        </w:rPr>
        <w:t>הוראת מגילת רות</w:t>
      </w:r>
    </w:p>
    <w:p w14:paraId="69665CB7" w14:textId="77777777" w:rsidR="00864337" w:rsidRDefault="00864337" w:rsidP="00CE6E57">
      <w:pPr>
        <w:spacing w:after="0" w:line="360" w:lineRule="auto"/>
        <w:jc w:val="center"/>
        <w:rPr>
          <w:rFonts w:ascii="David" w:eastAsia="David" w:hAnsi="David" w:cs="David"/>
          <w:sz w:val="48"/>
          <w:szCs w:val="48"/>
        </w:rPr>
      </w:pPr>
      <w:r>
        <w:rPr>
          <w:rFonts w:ascii="David" w:eastAsia="David" w:hAnsi="David" w:cs="David"/>
          <w:sz w:val="48"/>
          <w:szCs w:val="48"/>
          <w:rtl/>
        </w:rPr>
        <w:t>פרק ג (שיעור אחד)</w:t>
      </w:r>
    </w:p>
    <w:p w14:paraId="16FFD7DD"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מפת הלמידה:</w:t>
      </w:r>
    </w:p>
    <w:tbl>
      <w:tblPr>
        <w:bidiVisual/>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7796"/>
      </w:tblGrid>
      <w:tr w:rsidR="00864337" w14:paraId="526ABCF0" w14:textId="77777777" w:rsidTr="00C80B20">
        <w:tc>
          <w:tcPr>
            <w:tcW w:w="1826" w:type="dxa"/>
          </w:tcPr>
          <w:p w14:paraId="7008E4AB" w14:textId="77777777" w:rsidR="00864337" w:rsidRDefault="00864337" w:rsidP="00C80B20">
            <w:pPr>
              <w:spacing w:line="360" w:lineRule="auto"/>
              <w:jc w:val="both"/>
              <w:rPr>
                <w:rFonts w:ascii="David" w:eastAsia="David" w:hAnsi="David" w:cs="David"/>
                <w:b/>
                <w:sz w:val="24"/>
                <w:szCs w:val="24"/>
              </w:rPr>
            </w:pPr>
          </w:p>
        </w:tc>
        <w:tc>
          <w:tcPr>
            <w:tcW w:w="7796" w:type="dxa"/>
          </w:tcPr>
          <w:p w14:paraId="2039547B"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רקע: ייבום וגאולה</w:t>
            </w:r>
          </w:p>
        </w:tc>
      </w:tr>
      <w:tr w:rsidR="00864337" w14:paraId="0E7CC00C" w14:textId="77777777" w:rsidTr="00C80B20">
        <w:tc>
          <w:tcPr>
            <w:tcW w:w="1826" w:type="dxa"/>
          </w:tcPr>
          <w:p w14:paraId="63DF1D40"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א-ה</w:t>
            </w:r>
          </w:p>
        </w:tc>
        <w:tc>
          <w:tcPr>
            <w:tcW w:w="7796" w:type="dxa"/>
          </w:tcPr>
          <w:p w14:paraId="017206D5"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בהבנת המניע ליוזמה החריגה של נעמי.</w:t>
            </w:r>
          </w:p>
        </w:tc>
      </w:tr>
      <w:tr w:rsidR="00864337" w14:paraId="6D4ADCAC" w14:textId="77777777" w:rsidTr="00C80B20">
        <w:tc>
          <w:tcPr>
            <w:tcW w:w="1826" w:type="dxa"/>
          </w:tcPr>
          <w:p w14:paraId="62E03558"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ו-</w:t>
            </w:r>
            <w:proofErr w:type="spellStart"/>
            <w:r>
              <w:rPr>
                <w:rFonts w:ascii="David" w:eastAsia="David" w:hAnsi="David" w:cs="David"/>
                <w:b/>
                <w:sz w:val="24"/>
                <w:szCs w:val="24"/>
                <w:rtl/>
              </w:rPr>
              <w:t>טז</w:t>
            </w:r>
            <w:proofErr w:type="spellEnd"/>
          </w:p>
        </w:tc>
        <w:tc>
          <w:tcPr>
            <w:tcW w:w="7796" w:type="dxa"/>
          </w:tcPr>
          <w:p w14:paraId="4E6B6405"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דמותו של בועז:</w:t>
            </w:r>
          </w:p>
          <w:p w14:paraId="08E8FD52"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הבחירה של בועז, מידת החסד של בועז. </w:t>
            </w:r>
          </w:p>
        </w:tc>
      </w:tr>
      <w:tr w:rsidR="00864337" w14:paraId="507280CA" w14:textId="77777777" w:rsidTr="00C80B20">
        <w:tc>
          <w:tcPr>
            <w:tcW w:w="1826" w:type="dxa"/>
          </w:tcPr>
          <w:p w14:paraId="6C00A0ED"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פסוקים </w:t>
            </w:r>
            <w:proofErr w:type="spellStart"/>
            <w:r>
              <w:rPr>
                <w:rFonts w:ascii="David" w:eastAsia="David" w:hAnsi="David" w:cs="David"/>
                <w:b/>
                <w:sz w:val="24"/>
                <w:szCs w:val="24"/>
                <w:rtl/>
              </w:rPr>
              <w:t>טז-יח</w:t>
            </w:r>
            <w:proofErr w:type="spellEnd"/>
          </w:p>
        </w:tc>
        <w:tc>
          <w:tcPr>
            <w:tcW w:w="7796" w:type="dxa"/>
          </w:tcPr>
          <w:p w14:paraId="6F2A9A68" w14:textId="6B54688F"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ה</w:t>
            </w:r>
            <w:r w:rsidR="00C164B1">
              <w:rPr>
                <w:rFonts w:ascii="David" w:eastAsia="David" w:hAnsi="David" w:cs="David" w:hint="cs"/>
                <w:sz w:val="24"/>
                <w:szCs w:val="24"/>
                <w:rtl/>
              </w:rPr>
              <w:t>צ</w:t>
            </w:r>
            <w:r>
              <w:rPr>
                <w:rFonts w:ascii="David" w:eastAsia="David" w:hAnsi="David" w:cs="David"/>
                <w:sz w:val="24"/>
                <w:szCs w:val="24"/>
                <w:rtl/>
              </w:rPr>
              <w:t xml:space="preserve">יפיה למימוש ההבטחה.  </w:t>
            </w:r>
          </w:p>
        </w:tc>
      </w:tr>
      <w:tr w:rsidR="00864337" w14:paraId="3CD0A9A7" w14:textId="77777777" w:rsidTr="00C80B20">
        <w:tc>
          <w:tcPr>
            <w:tcW w:w="9622" w:type="dxa"/>
            <w:gridSpan w:val="2"/>
          </w:tcPr>
          <w:p w14:paraId="53C3ACB5"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סיכום: </w:t>
            </w:r>
          </w:p>
          <w:p w14:paraId="07074437" w14:textId="5153D6D3" w:rsidR="00864337" w:rsidRPr="00C164B1" w:rsidRDefault="00864337" w:rsidP="00C164B1">
            <w:pPr>
              <w:numPr>
                <w:ilvl w:val="0"/>
                <w:numId w:val="2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למדנו? </w:t>
            </w:r>
          </w:p>
        </w:tc>
      </w:tr>
    </w:tbl>
    <w:p w14:paraId="2C0943EF" w14:textId="77777777" w:rsidR="00864337" w:rsidRDefault="00864337" w:rsidP="00C80B20">
      <w:pPr>
        <w:spacing w:after="0" w:line="360" w:lineRule="auto"/>
        <w:jc w:val="both"/>
        <w:rPr>
          <w:rFonts w:ascii="David" w:eastAsia="David" w:hAnsi="David" w:cs="David"/>
          <w:b/>
        </w:rPr>
      </w:pPr>
    </w:p>
    <w:p w14:paraId="7A80009C" w14:textId="033FAB49" w:rsidR="00864337" w:rsidRDefault="00864337" w:rsidP="00C80B20">
      <w:pPr>
        <w:spacing w:after="0" w:line="360" w:lineRule="auto"/>
        <w:jc w:val="both"/>
        <w:rPr>
          <w:rFonts w:ascii="David" w:eastAsia="David" w:hAnsi="David" w:cs="David"/>
          <w:sz w:val="32"/>
          <w:szCs w:val="32"/>
          <w:rtl/>
        </w:rPr>
      </w:pPr>
      <w:r>
        <w:rPr>
          <w:rFonts w:ascii="David" w:eastAsia="David" w:hAnsi="David" w:cs="David"/>
          <w:sz w:val="32"/>
          <w:szCs w:val="32"/>
          <w:rtl/>
        </w:rPr>
        <w:t xml:space="preserve">מפת הצבעים: </w:t>
      </w:r>
    </w:p>
    <w:tbl>
      <w:tblPr>
        <w:bidiVisual/>
        <w:tblW w:w="973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947"/>
        <w:gridCol w:w="1947"/>
        <w:gridCol w:w="1947"/>
        <w:gridCol w:w="1948"/>
      </w:tblGrid>
      <w:tr w:rsidR="00482B2A" w14:paraId="69A047DC" w14:textId="77777777" w:rsidTr="00A85857">
        <w:trPr>
          <w:jc w:val="right"/>
        </w:trPr>
        <w:tc>
          <w:tcPr>
            <w:tcW w:w="1947" w:type="dxa"/>
            <w:shd w:val="clear" w:color="auto" w:fill="D9E2F3" w:themeFill="accent1" w:themeFillTint="33"/>
            <w:vAlign w:val="center"/>
          </w:tcPr>
          <w:p w14:paraId="3B9510DD" w14:textId="77777777" w:rsidR="00482B2A" w:rsidRPr="00C80B20" w:rsidRDefault="00482B2A" w:rsidP="00A85857">
            <w:pPr>
              <w:shd w:val="clear" w:color="auto" w:fill="D9E2F3" w:themeFill="accent1" w:themeFillTint="33"/>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רקע-</w:t>
            </w:r>
          </w:p>
          <w:p w14:paraId="60B4C281" w14:textId="77777777" w:rsidR="00482B2A" w:rsidRPr="00C80B20" w:rsidRDefault="00482B2A"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מצוות התורה</w:t>
            </w:r>
          </w:p>
        </w:tc>
        <w:tc>
          <w:tcPr>
            <w:tcW w:w="1947" w:type="dxa"/>
            <w:shd w:val="clear" w:color="auto" w:fill="FBE5D5"/>
            <w:vAlign w:val="center"/>
          </w:tcPr>
          <w:p w14:paraId="1196AF00" w14:textId="77777777" w:rsidR="00482B2A" w:rsidRPr="00C80B20" w:rsidRDefault="00482B2A"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פרשנות מלווה</w:t>
            </w:r>
          </w:p>
        </w:tc>
        <w:tc>
          <w:tcPr>
            <w:tcW w:w="1947" w:type="dxa"/>
            <w:shd w:val="clear" w:color="auto" w:fill="E2EFD9"/>
            <w:vAlign w:val="center"/>
          </w:tcPr>
          <w:p w14:paraId="5CC44833" w14:textId="77777777" w:rsidR="00482B2A" w:rsidRPr="00C80B20" w:rsidRDefault="00482B2A"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מיומנות- הקניה</w:t>
            </w:r>
          </w:p>
        </w:tc>
        <w:tc>
          <w:tcPr>
            <w:tcW w:w="1947" w:type="dxa"/>
            <w:shd w:val="clear" w:color="auto" w:fill="FFF2CC"/>
            <w:vAlign w:val="center"/>
          </w:tcPr>
          <w:p w14:paraId="7112A504" w14:textId="77777777" w:rsidR="00482B2A" w:rsidRPr="00C80B20" w:rsidRDefault="00482B2A"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הצעת הוראה</w:t>
            </w:r>
          </w:p>
        </w:tc>
        <w:tc>
          <w:tcPr>
            <w:tcW w:w="1948" w:type="dxa"/>
            <w:shd w:val="clear" w:color="auto" w:fill="D9D9D9"/>
            <w:vAlign w:val="center"/>
          </w:tcPr>
          <w:p w14:paraId="73517825" w14:textId="77777777" w:rsidR="00482B2A" w:rsidRPr="00C80B20" w:rsidRDefault="00482B2A"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הקשר אישי</w:t>
            </w:r>
          </w:p>
          <w:p w14:paraId="177B20A6" w14:textId="77777777" w:rsidR="00482B2A" w:rsidRPr="00C80B20" w:rsidRDefault="00482B2A"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והקשר רחב</w:t>
            </w:r>
          </w:p>
        </w:tc>
      </w:tr>
    </w:tbl>
    <w:p w14:paraId="7AD97979" w14:textId="77777777" w:rsidR="00864337" w:rsidRDefault="00864337" w:rsidP="00C80B20">
      <w:pPr>
        <w:spacing w:after="0" w:line="360" w:lineRule="auto"/>
        <w:jc w:val="both"/>
        <w:rPr>
          <w:rFonts w:ascii="David" w:eastAsia="David" w:hAnsi="David" w:cs="David"/>
        </w:rPr>
      </w:pPr>
    </w:p>
    <w:p w14:paraId="04161C7C"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פתיחה</w:t>
      </w:r>
    </w:p>
    <w:p w14:paraId="5F4F688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הלימוד בפרק יתחלק לשלושה חלקים: </w:t>
      </w:r>
    </w:p>
    <w:p w14:paraId="046A1F0C"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א-ה יוזמתה של נעמי</w:t>
      </w:r>
    </w:p>
    <w:p w14:paraId="7635C99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ו - טו פנייתה של רות </w:t>
      </w:r>
      <w:proofErr w:type="spellStart"/>
      <w:r>
        <w:rPr>
          <w:rFonts w:ascii="David" w:eastAsia="David" w:hAnsi="David" w:cs="David"/>
          <w:sz w:val="24"/>
          <w:szCs w:val="24"/>
          <w:rtl/>
        </w:rPr>
        <w:t>לבעז</w:t>
      </w:r>
      <w:proofErr w:type="spellEnd"/>
    </w:p>
    <w:p w14:paraId="088311C7" w14:textId="77777777" w:rsidR="00864337" w:rsidRDefault="00864337" w:rsidP="00C80B20">
      <w:pPr>
        <w:spacing w:after="0" w:line="360" w:lineRule="auto"/>
        <w:jc w:val="both"/>
        <w:rPr>
          <w:rFonts w:ascii="David" w:eastAsia="David" w:hAnsi="David" w:cs="David"/>
          <w:sz w:val="24"/>
          <w:szCs w:val="24"/>
        </w:rPr>
      </w:pPr>
      <w:proofErr w:type="spellStart"/>
      <w:r>
        <w:rPr>
          <w:rFonts w:ascii="David" w:eastAsia="David" w:hAnsi="David" w:cs="David"/>
          <w:sz w:val="24"/>
          <w:szCs w:val="24"/>
          <w:rtl/>
        </w:rPr>
        <w:t>טז</w:t>
      </w:r>
      <w:proofErr w:type="spellEnd"/>
      <w:r>
        <w:rPr>
          <w:rFonts w:ascii="David" w:eastAsia="David" w:hAnsi="David" w:cs="David"/>
          <w:sz w:val="24"/>
          <w:szCs w:val="24"/>
          <w:rtl/>
        </w:rPr>
        <w:t xml:space="preserve"> - </w:t>
      </w:r>
      <w:proofErr w:type="spellStart"/>
      <w:r>
        <w:rPr>
          <w:rFonts w:ascii="David" w:eastAsia="David" w:hAnsi="David" w:cs="David"/>
          <w:sz w:val="24"/>
          <w:szCs w:val="24"/>
          <w:rtl/>
        </w:rPr>
        <w:t>יח</w:t>
      </w:r>
      <w:proofErr w:type="spellEnd"/>
      <w:r>
        <w:rPr>
          <w:rFonts w:ascii="David" w:eastAsia="David" w:hAnsi="David" w:cs="David"/>
          <w:sz w:val="24"/>
          <w:szCs w:val="24"/>
          <w:rtl/>
        </w:rPr>
        <w:t xml:space="preserve"> שיחת נעמי ורות בעקבות האירועים.</w:t>
      </w:r>
    </w:p>
    <w:p w14:paraId="274DBF0F" w14:textId="77777777" w:rsidR="00864337" w:rsidRDefault="00864337" w:rsidP="00C80B20">
      <w:pPr>
        <w:spacing w:after="0" w:line="360" w:lineRule="auto"/>
        <w:jc w:val="both"/>
        <w:rPr>
          <w:rFonts w:ascii="David" w:eastAsia="David" w:hAnsi="David" w:cs="David"/>
          <w:b/>
          <w:sz w:val="24"/>
          <w:szCs w:val="24"/>
          <w:highlight w:val="cyan"/>
        </w:rPr>
      </w:pPr>
    </w:p>
    <w:p w14:paraId="6CA76C07" w14:textId="1898A2CA"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פרק ג עוסק במפגש בין בעז לרות אותו יוזמת נעמי. מטרת המפגש היא להביא לידי הקמת שם למשפחת אלימלך ונעמי. המפגש אותו יוזמת נעמי נעשה בצורה  חריגה, שיש לה נגיעה לדיני ייחוד וצניעות: אישה (רות) יורדת למקום מבודד בשעות לילה, כדי לפגוש גבר (בעז). כדי להבין את המניעים של נעמי ורות וכן את יחסו של בעז למפגש עלינו להכיר את מצוות הייבום והגאולה. עיקרו של הלימוד יהיה ברובד הפשט, ומטרתו תהיה לברר מה הביא להחלטה של נעמי ושל רות לבחור בדרך כזו, ולהבין את הבחירה של בועז לקחת אחריות ולממש את </w:t>
      </w:r>
      <w:r w:rsidR="00482B2A">
        <w:rPr>
          <w:rFonts w:ascii="David" w:eastAsia="David" w:hAnsi="David" w:cs="David" w:hint="cs"/>
          <w:sz w:val="24"/>
          <w:szCs w:val="24"/>
          <w:rtl/>
        </w:rPr>
        <w:t>המחויבות</w:t>
      </w:r>
      <w:r>
        <w:rPr>
          <w:rFonts w:ascii="David" w:eastAsia="David" w:hAnsi="David" w:cs="David"/>
          <w:sz w:val="24"/>
          <w:szCs w:val="24"/>
          <w:rtl/>
        </w:rPr>
        <w:t xml:space="preserve"> שלו כלפי אלימלך המת וכלפי רות. </w:t>
      </w:r>
    </w:p>
    <w:p w14:paraId="6DE8309E" w14:textId="77777777" w:rsidR="00864337" w:rsidRDefault="00864337" w:rsidP="00C80B20">
      <w:pPr>
        <w:spacing w:after="0" w:line="360" w:lineRule="auto"/>
        <w:jc w:val="both"/>
        <w:rPr>
          <w:rFonts w:ascii="David" w:eastAsia="David" w:hAnsi="David" w:cs="David"/>
          <w:sz w:val="24"/>
          <w:szCs w:val="24"/>
        </w:rPr>
      </w:pPr>
    </w:p>
    <w:p w14:paraId="7F9E02C6"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דגשים בהוראת פרק ג</w:t>
      </w:r>
    </w:p>
    <w:p w14:paraId="6BDD5CFD" w14:textId="77777777" w:rsidR="00864337" w:rsidRDefault="00864337" w:rsidP="00C80B20">
      <w:pPr>
        <w:spacing w:after="0" w:line="360" w:lineRule="auto"/>
        <w:jc w:val="both"/>
        <w:rPr>
          <w:rFonts w:ascii="David" w:eastAsia="David" w:hAnsi="David" w:cs="David"/>
          <w:b/>
          <w:sz w:val="24"/>
          <w:szCs w:val="24"/>
        </w:rPr>
      </w:pPr>
      <w:r>
        <w:rPr>
          <w:rFonts w:ascii="David" w:eastAsia="David" w:hAnsi="David" w:cs="David"/>
          <w:sz w:val="24"/>
          <w:szCs w:val="24"/>
          <w:rtl/>
        </w:rPr>
        <w:t>מיומנויות:</w:t>
      </w:r>
      <w:r>
        <w:rPr>
          <w:rFonts w:ascii="David" w:eastAsia="David" w:hAnsi="David" w:cs="David"/>
          <w:b/>
          <w:sz w:val="24"/>
          <w:szCs w:val="24"/>
        </w:rPr>
        <w:t xml:space="preserve"> </w:t>
      </w:r>
      <w:r>
        <w:rPr>
          <w:rFonts w:ascii="David" w:eastAsia="David" w:hAnsi="David" w:cs="David"/>
          <w:sz w:val="24"/>
          <w:szCs w:val="24"/>
          <w:rtl/>
        </w:rPr>
        <w:t>אפיון דמות</w:t>
      </w:r>
    </w:p>
    <w:p w14:paraId="264547E1" w14:textId="1865409C"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מושגים: ייבום, גאולה, חסד, יוזמה, </w:t>
      </w:r>
    </w:p>
    <w:p w14:paraId="4AE340DA" w14:textId="1F2D903F" w:rsidR="00482B2A" w:rsidRDefault="00482B2A">
      <w:pPr>
        <w:rPr>
          <w:rFonts w:ascii="David" w:eastAsia="David" w:hAnsi="David" w:cs="David"/>
          <w:b/>
          <w:sz w:val="24"/>
          <w:szCs w:val="24"/>
          <w:rtl/>
        </w:rPr>
      </w:pPr>
      <w:r>
        <w:rPr>
          <w:rFonts w:ascii="David" w:eastAsia="David" w:hAnsi="David" w:cs="David"/>
          <w:b/>
          <w:sz w:val="24"/>
          <w:szCs w:val="24"/>
          <w:rtl/>
        </w:rPr>
        <w:br w:type="page"/>
      </w:r>
    </w:p>
    <w:p w14:paraId="32038273" w14:textId="77777777" w:rsidR="00864337" w:rsidRDefault="00864337" w:rsidP="00C80B20">
      <w:pPr>
        <w:spacing w:after="0" w:line="360" w:lineRule="auto"/>
        <w:jc w:val="both"/>
        <w:rPr>
          <w:rFonts w:ascii="David" w:eastAsia="David" w:hAnsi="David" w:cs="David"/>
          <w:b/>
          <w:sz w:val="24"/>
          <w:szCs w:val="24"/>
        </w:rPr>
      </w:pPr>
    </w:p>
    <w:p w14:paraId="0B3BDB4B" w14:textId="77777777" w:rsidR="00864337" w:rsidRDefault="00864337" w:rsidP="00C80B20">
      <w:pPr>
        <w:shd w:val="clear" w:color="auto" w:fill="DEEBF6"/>
        <w:spacing w:after="0" w:line="360" w:lineRule="auto"/>
        <w:jc w:val="both"/>
        <w:rPr>
          <w:rFonts w:ascii="David" w:eastAsia="David" w:hAnsi="David" w:cs="David"/>
          <w:b/>
          <w:sz w:val="32"/>
          <w:szCs w:val="32"/>
        </w:rPr>
      </w:pPr>
      <w:r>
        <w:rPr>
          <w:rFonts w:ascii="David" w:eastAsia="David" w:hAnsi="David" w:cs="David"/>
          <w:b/>
          <w:sz w:val="32"/>
          <w:szCs w:val="32"/>
          <w:rtl/>
        </w:rPr>
        <w:t>ברקע הדברים: ייבום וגאולה</w:t>
      </w:r>
    </w:p>
    <w:p w14:paraId="12587589" w14:textId="77777777" w:rsidR="00864337" w:rsidRDefault="00864337" w:rsidP="00C80B20">
      <w:pP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כדי להבין את הפנייה של רות אל בועז על התלמידים להכיר שתי מצוות: ייבום וגאולה.</w:t>
      </w:r>
    </w:p>
    <w:p w14:paraId="66A1BF77" w14:textId="77777777" w:rsidR="00864337" w:rsidRDefault="00864337" w:rsidP="00C80B20">
      <w:pPr>
        <w:shd w:val="clear" w:color="auto" w:fill="DEEBF6"/>
        <w:spacing w:after="0" w:line="360" w:lineRule="auto"/>
        <w:jc w:val="both"/>
        <w:rPr>
          <w:rFonts w:ascii="David" w:eastAsia="David" w:hAnsi="David" w:cs="David"/>
          <w:sz w:val="24"/>
          <w:szCs w:val="24"/>
        </w:rPr>
      </w:pPr>
      <w:r>
        <w:rPr>
          <w:rFonts w:ascii="David" w:eastAsia="David" w:hAnsi="David" w:cs="David"/>
          <w:b/>
          <w:sz w:val="24"/>
          <w:szCs w:val="24"/>
          <w:rtl/>
        </w:rPr>
        <w:t>ייבום:</w:t>
      </w:r>
      <w:r>
        <w:rPr>
          <w:rFonts w:ascii="David" w:eastAsia="David" w:hAnsi="David" w:cs="David"/>
          <w:sz w:val="24"/>
          <w:szCs w:val="24"/>
          <w:rtl/>
        </w:rPr>
        <w:t xml:space="preserve"> ”כִּי יֵשְׁבוּ אַחִים יַחְדָּו וּמֵת אַחַד מֵהֶם וּבֵן אֵין לוֹ לֹא תִהְיֶה אֵשֶׁת הַמֵּת הַחוּצָה לְאִישׁ זָר יְבָמָהּ יָבֹא עָלֶיהָ וּלְקָחָהּ לוֹ לְאִשָּׁה וְיִבְּמָהּ. וְהָיָה הַבְּכוֹר אֲשֶׁר תֵּלֵד יָקוּם עַל שֵׁם אָחִיו הַמֵּת וְלֹא יִמָּחֶה שְׁמוֹ מִיִּשְׂרָאֵל“ (דברים, כ"ה, ה–ו). אם אדם נשוי מת מבלי להשאיר אחריו צאצאים, אחיו של המת מצווה לשאת את אלמנתו ובכך ליצור המשכיות שתנציח את שם אחיו. לחלופין, הוא מצווה לבצע חליצה המשחררת אותו מן החובה לשאת את אלמנת אחיו.</w:t>
      </w:r>
    </w:p>
    <w:p w14:paraId="663B28FF" w14:textId="3C98BC24" w:rsidR="00864337" w:rsidRDefault="00864337" w:rsidP="00C80B20">
      <w:pP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אין במגילת רות ייבום: בועז והגואל, אותו נכיר בפרק ד, הם לא גיסיה של רות ולא </w:t>
      </w:r>
      <w:r w:rsidR="00482B2A">
        <w:rPr>
          <w:rFonts w:ascii="David" w:eastAsia="David" w:hAnsi="David" w:cs="David" w:hint="cs"/>
          <w:sz w:val="24"/>
          <w:szCs w:val="24"/>
          <w:rtl/>
        </w:rPr>
        <w:t>מחויבים</w:t>
      </w:r>
      <w:r>
        <w:rPr>
          <w:rFonts w:ascii="David" w:eastAsia="David" w:hAnsi="David" w:cs="David"/>
          <w:sz w:val="24"/>
          <w:szCs w:val="24"/>
          <w:rtl/>
        </w:rPr>
        <w:t xml:space="preserve"> לייבם. המגילה גם נוקטת לשון "גאולה" ולא לשון ייבום. אולם המניע של בועז היא להקים את שמו של המת, ובכך יש דמיון לייבום. בנוסף, שליפת הנעל ע"י הגואל (פרק ד, ז-ח) דומה לחליצה. לדעת הרמב"ן המגילה  מתארת נוהג שנקבע על ידי חכמי ישראל והתייחס למעגלים משפחתיים רחבים יותר. רמב"ן (בראשית לח, ח): "חכמי ישראל הקדמונים, מדעתם העניין הנכבד הזה [עניין הייבום] הנהיגו לפנים בישראל לעשות המעשה הזה בכל יורשי הנחלה, וקראו אותו גאולה, וזהו עניין בועז". </w:t>
      </w:r>
    </w:p>
    <w:p w14:paraId="06A0A6A4" w14:textId="58733B1E" w:rsidR="00864337" w:rsidRDefault="00864337" w:rsidP="00C80B20">
      <w:pP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בכיתה כדאי להכיר לתלמידים את מצוות הייבום, תוך שימת דגש על מטרתה - ליצור המשכיות שתנציח  את  האיש המת או בלשון התורה "יקום על שם אחיו המת ולא ימחה שמו מישראל". הבנת חשיבותה של מצוות הייבום תורמת להבנת ערכי </w:t>
      </w:r>
      <w:r w:rsidR="00482B2A">
        <w:rPr>
          <w:rFonts w:ascii="David" w:eastAsia="David" w:hAnsi="David" w:cs="David" w:hint="cs"/>
          <w:sz w:val="24"/>
          <w:szCs w:val="24"/>
          <w:rtl/>
        </w:rPr>
        <w:t>המחויבות</w:t>
      </w:r>
      <w:r>
        <w:rPr>
          <w:rFonts w:ascii="David" w:eastAsia="David" w:hAnsi="David" w:cs="David"/>
          <w:sz w:val="24"/>
          <w:szCs w:val="24"/>
          <w:rtl/>
        </w:rPr>
        <w:t xml:space="preserve"> והנאמנות המניעים את בועז.</w:t>
      </w:r>
    </w:p>
    <w:p w14:paraId="7BAB330A" w14:textId="54D63DB9" w:rsidR="00C164B1" w:rsidRDefault="00864337" w:rsidP="00C80B20">
      <w:pPr>
        <w:shd w:val="clear" w:color="auto" w:fill="DEEBF6"/>
        <w:spacing w:after="0" w:line="360" w:lineRule="auto"/>
        <w:jc w:val="both"/>
        <w:rPr>
          <w:rFonts w:ascii="David" w:eastAsia="David" w:hAnsi="David" w:cs="David"/>
          <w:sz w:val="24"/>
          <w:szCs w:val="24"/>
          <w:rtl/>
        </w:rPr>
      </w:pPr>
      <w:r>
        <w:rPr>
          <w:rFonts w:ascii="David" w:eastAsia="David" w:hAnsi="David" w:cs="David"/>
          <w:sz w:val="24"/>
          <w:szCs w:val="24"/>
          <w:rtl/>
        </w:rPr>
        <w:t xml:space="preserve">מצוות הייבום לא </w:t>
      </w:r>
      <w:r w:rsidR="002E0228">
        <w:rPr>
          <w:rFonts w:ascii="David" w:eastAsia="David" w:hAnsi="David" w:cs="David" w:hint="cs"/>
          <w:sz w:val="24"/>
          <w:szCs w:val="24"/>
          <w:rtl/>
        </w:rPr>
        <w:t>נוהגת</w:t>
      </w:r>
      <w:r w:rsidR="002E0228">
        <w:rPr>
          <w:rFonts w:ascii="David" w:eastAsia="David" w:hAnsi="David" w:cs="David"/>
          <w:sz w:val="24"/>
          <w:szCs w:val="24"/>
          <w:rtl/>
        </w:rPr>
        <w:t xml:space="preserve"> </w:t>
      </w:r>
      <w:r>
        <w:rPr>
          <w:rFonts w:ascii="David" w:eastAsia="David" w:hAnsi="David" w:cs="David"/>
          <w:sz w:val="24"/>
          <w:szCs w:val="24"/>
          <w:rtl/>
        </w:rPr>
        <w:t xml:space="preserve">היום ובמקומה נוהגת החליצה. התורה מגדירה את טעם המצווה "וְלֹא יִמָּחֶה שְׁמוֹ מִיִּשְׂרָאֵל". </w:t>
      </w:r>
    </w:p>
    <w:p w14:paraId="25BCFFE2" w14:textId="7F6C5FFC" w:rsidR="00864337" w:rsidRDefault="00864337" w:rsidP="00C80B20">
      <w:pP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עם התלמידים נוכל לחשוב על דרכים שונות בהם נוקטות משפחות של נפטרים, ובפרט כאלו שנפטרו ללא שהותירו אחריהם ילדים, להנצחת זכר יקירם ש"לא יימחה שמו מישראל".</w:t>
      </w:r>
    </w:p>
    <w:p w14:paraId="5EB14C71" w14:textId="77777777" w:rsidR="00864337" w:rsidRDefault="00864337" w:rsidP="00C80B20">
      <w:pPr>
        <w:shd w:val="clear" w:color="auto" w:fill="DEEBF6"/>
        <w:spacing w:after="0" w:line="360" w:lineRule="auto"/>
        <w:jc w:val="both"/>
        <w:rPr>
          <w:rFonts w:ascii="David" w:eastAsia="David" w:hAnsi="David" w:cs="David"/>
          <w:sz w:val="24"/>
          <w:szCs w:val="24"/>
        </w:rPr>
      </w:pPr>
    </w:p>
    <w:p w14:paraId="52CE6A3F" w14:textId="77777777" w:rsidR="00864337" w:rsidRDefault="00864337" w:rsidP="00C80B20">
      <w:pP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 xml:space="preserve">נכיר גם את מצוות </w:t>
      </w:r>
      <w:r>
        <w:rPr>
          <w:rFonts w:ascii="David" w:eastAsia="David" w:hAnsi="David" w:cs="David"/>
          <w:b/>
          <w:sz w:val="24"/>
          <w:szCs w:val="24"/>
          <w:rtl/>
        </w:rPr>
        <w:t>גאולת שדה:</w:t>
      </w:r>
      <w:r>
        <w:rPr>
          <w:rFonts w:ascii="David" w:eastAsia="David" w:hAnsi="David" w:cs="David"/>
          <w:sz w:val="24"/>
          <w:szCs w:val="24"/>
          <w:rtl/>
        </w:rPr>
        <w:t xml:space="preserve"> "כִּי </w:t>
      </w:r>
      <w:proofErr w:type="spellStart"/>
      <w:r>
        <w:rPr>
          <w:rFonts w:ascii="David" w:eastAsia="David" w:hAnsi="David" w:cs="David"/>
          <w:sz w:val="24"/>
          <w:szCs w:val="24"/>
          <w:rtl/>
        </w:rPr>
        <w:t>יָמוּך</w:t>
      </w:r>
      <w:proofErr w:type="spellEnd"/>
      <w:r>
        <w:rPr>
          <w:rFonts w:ascii="David" w:eastAsia="David" w:hAnsi="David" w:cs="David"/>
          <w:sz w:val="24"/>
          <w:szCs w:val="24"/>
          <w:rtl/>
        </w:rPr>
        <w:t xml:space="preserve">ְ אָחִיךָ וּמָכַר </w:t>
      </w:r>
      <w:proofErr w:type="spellStart"/>
      <w:r>
        <w:rPr>
          <w:rFonts w:ascii="David" w:eastAsia="David" w:hAnsi="David" w:cs="David"/>
          <w:sz w:val="24"/>
          <w:szCs w:val="24"/>
          <w:rtl/>
        </w:rPr>
        <w:t>מֵאֲחֻזָּתו</w:t>
      </w:r>
      <w:proofErr w:type="spellEnd"/>
      <w:r>
        <w:rPr>
          <w:rFonts w:ascii="David" w:eastAsia="David" w:hAnsi="David" w:cs="David"/>
          <w:sz w:val="24"/>
          <w:szCs w:val="24"/>
          <w:rtl/>
        </w:rPr>
        <w:t xml:space="preserve">ֹ וּבָא גֹאֲלוֹ הַקָּרֹב אֵלָיו וְגָאַל אֵת מִמְכַּר אָחִיו: וְאִישׁ כִּי לֹא יִהְיֶה לּוֹ גֹּאֵל וְהִשִּׂיגָה יָדוֹ וּמָצָא כְּדֵי </w:t>
      </w:r>
      <w:proofErr w:type="spellStart"/>
      <w:r>
        <w:rPr>
          <w:rFonts w:ascii="David" w:eastAsia="David" w:hAnsi="David" w:cs="David"/>
          <w:sz w:val="24"/>
          <w:szCs w:val="24"/>
          <w:rtl/>
        </w:rPr>
        <w:t>גְאֻלָּתו</w:t>
      </w:r>
      <w:proofErr w:type="spellEnd"/>
      <w:r>
        <w:rPr>
          <w:rFonts w:ascii="David" w:eastAsia="David" w:hAnsi="David" w:cs="David"/>
          <w:sz w:val="24"/>
          <w:szCs w:val="24"/>
          <w:rtl/>
        </w:rPr>
        <w:t xml:space="preserve">ֹ: וְחִשַּׁב אֶת שְׁנֵי מִמְכָּרוֹ וְהֵשִׁיב אֶת הָעֹדֵף לָאִישׁ אֲשֶׁר מָכַר לוֹ וְשָׁב </w:t>
      </w:r>
      <w:proofErr w:type="spellStart"/>
      <w:r>
        <w:rPr>
          <w:rFonts w:ascii="David" w:eastAsia="David" w:hAnsi="David" w:cs="David"/>
          <w:sz w:val="24"/>
          <w:szCs w:val="24"/>
          <w:rtl/>
        </w:rPr>
        <w:t>לַאֲחֻזָּתו</w:t>
      </w:r>
      <w:proofErr w:type="spellEnd"/>
      <w:r>
        <w:rPr>
          <w:rFonts w:ascii="David" w:eastAsia="David" w:hAnsi="David" w:cs="David"/>
          <w:sz w:val="24"/>
          <w:szCs w:val="24"/>
          <w:rtl/>
        </w:rPr>
        <w:t>ֹ" (ויקרא כה, כה-</w:t>
      </w:r>
      <w:proofErr w:type="spellStart"/>
      <w:r>
        <w:rPr>
          <w:rFonts w:ascii="David" w:eastAsia="David" w:hAnsi="David" w:cs="David"/>
          <w:sz w:val="24"/>
          <w:szCs w:val="24"/>
          <w:rtl/>
        </w:rPr>
        <w:t>כז</w:t>
      </w:r>
      <w:proofErr w:type="spellEnd"/>
      <w:r>
        <w:rPr>
          <w:rFonts w:ascii="David" w:eastAsia="David" w:hAnsi="David" w:cs="David"/>
          <w:sz w:val="24"/>
          <w:szCs w:val="24"/>
          <w:rtl/>
        </w:rPr>
        <w:t xml:space="preserve">). </w:t>
      </w:r>
    </w:p>
    <w:p w14:paraId="53CED74A" w14:textId="77777777" w:rsidR="00864337" w:rsidRDefault="00864337" w:rsidP="00C80B20">
      <w:pPr>
        <w:shd w:val="clear" w:color="auto" w:fill="DEEBF6"/>
        <w:spacing w:after="0" w:line="360" w:lineRule="auto"/>
        <w:jc w:val="both"/>
        <w:rPr>
          <w:rFonts w:ascii="David" w:eastAsia="David" w:hAnsi="David" w:cs="David"/>
          <w:sz w:val="24"/>
          <w:szCs w:val="24"/>
        </w:rPr>
      </w:pPr>
      <w:r>
        <w:rPr>
          <w:rFonts w:ascii="David" w:eastAsia="David" w:hAnsi="David" w:cs="David"/>
          <w:sz w:val="24"/>
          <w:szCs w:val="24"/>
          <w:rtl/>
        </w:rPr>
        <w:t>מדין תורה  שדה נחשב לרכוש משפחתי, העובר מאב לבן. אם אדם מכר שדה משום שירד מנכסיו, השדה ישוב אליו בשנת היובל. אם הוא השיג מספיק כסף עוד לפני היובל הקונה חייב להשיב לו את השדה (תמורת הסכום היחסי עד היובל).</w:t>
      </w:r>
    </w:p>
    <w:p w14:paraId="41261B02" w14:textId="7DCE90E1" w:rsidR="00864337" w:rsidRDefault="00864337" w:rsidP="00C80B20">
      <w:pPr>
        <w:shd w:val="clear" w:color="auto" w:fill="DEEBF6"/>
        <w:spacing w:after="0" w:line="360" w:lineRule="auto"/>
        <w:jc w:val="both"/>
        <w:rPr>
          <w:rFonts w:ascii="David" w:eastAsia="David" w:hAnsi="David" w:cs="David"/>
          <w:color w:val="000000"/>
          <w:sz w:val="24"/>
          <w:szCs w:val="24"/>
          <w:rtl/>
        </w:rPr>
      </w:pPr>
      <w:r>
        <w:rPr>
          <w:rFonts w:ascii="David" w:eastAsia="David" w:hAnsi="David" w:cs="David"/>
          <w:color w:val="000000"/>
          <w:sz w:val="24"/>
          <w:szCs w:val="24"/>
          <w:rtl/>
        </w:rPr>
        <w:t>גם גואל (קרוב משפחה) יכול לקנות עבור המוכר שירד מנכסיו את השדה. המושג "גואל" מתייחס לקרוב משפחה הממלא את המחויבות שלו כלפי בן משפחתו שנתון בקושי</w:t>
      </w:r>
      <w:r w:rsidR="00713CF6">
        <w:rPr>
          <w:rFonts w:ascii="David" w:eastAsia="David" w:hAnsi="David" w:cs="David"/>
          <w:color w:val="000000"/>
          <w:sz w:val="24"/>
          <w:szCs w:val="24"/>
          <w:vertAlign w:val="superscript"/>
        </w:rPr>
        <w:t xml:space="preserve"> </w:t>
      </w:r>
      <w:proofErr w:type="spellStart"/>
      <w:r>
        <w:rPr>
          <w:rFonts w:ascii="David" w:eastAsia="David" w:hAnsi="David" w:cs="David"/>
          <w:color w:val="000000"/>
          <w:sz w:val="24"/>
          <w:szCs w:val="24"/>
          <w:rtl/>
        </w:rPr>
        <w:t>נידרש</w:t>
      </w:r>
      <w:proofErr w:type="spellEnd"/>
      <w:r>
        <w:rPr>
          <w:rFonts w:ascii="David" w:eastAsia="David" w:hAnsi="David" w:cs="David"/>
          <w:color w:val="000000"/>
          <w:sz w:val="24"/>
          <w:szCs w:val="24"/>
          <w:rtl/>
        </w:rPr>
        <w:t xml:space="preserve"> למושג "גואל" כשנלמד את דבריה של רות לבועז: "וּפָרַשְׂתָּ כְנָפֶךָ עַל אֲמָתְךָ כִּי גֹאֵל אָתָּה" (ג, ט). </w:t>
      </w:r>
    </w:p>
    <w:p w14:paraId="22117052" w14:textId="73EE1BF9" w:rsidR="00713CF6" w:rsidRPr="00713CF6" w:rsidRDefault="00713CF6" w:rsidP="00C80B20">
      <w:pPr>
        <w:shd w:val="clear" w:color="auto" w:fill="DEEBF6"/>
        <w:spacing w:after="0" w:line="360" w:lineRule="auto"/>
        <w:jc w:val="both"/>
        <w:rPr>
          <w:rFonts w:ascii="David" w:eastAsia="David" w:hAnsi="David" w:cs="David"/>
          <w:color w:val="000000"/>
          <w:sz w:val="24"/>
          <w:szCs w:val="24"/>
        </w:rPr>
      </w:pPr>
      <w:r w:rsidRPr="00C164B1">
        <w:rPr>
          <w:rFonts w:ascii="David" w:eastAsia="David" w:hAnsi="David" w:cs="David" w:hint="cs"/>
          <w:b/>
          <w:bCs/>
          <w:color w:val="000000"/>
          <w:sz w:val="24"/>
          <w:szCs w:val="24"/>
          <w:u w:val="single"/>
          <w:rtl/>
        </w:rPr>
        <w:t>הערה למורה</w:t>
      </w:r>
      <w:r>
        <w:rPr>
          <w:rFonts w:ascii="David" w:eastAsia="David" w:hAnsi="David" w:cs="David" w:hint="cs"/>
          <w:color w:val="000000"/>
          <w:sz w:val="24"/>
          <w:szCs w:val="24"/>
          <w:u w:val="single"/>
          <w:rtl/>
        </w:rPr>
        <w:t xml:space="preserve">: </w:t>
      </w:r>
      <w:r>
        <w:rPr>
          <w:rFonts w:ascii="David" w:eastAsia="David" w:hAnsi="David" w:cs="David" w:hint="cs"/>
          <w:color w:val="000000"/>
          <w:sz w:val="24"/>
          <w:szCs w:val="24"/>
          <w:rtl/>
        </w:rPr>
        <w:t>התלמידים לא צריכים לדעת את פרטי המצוות והמקורות שלהם. הם צריכים להבין את עקרון ה</w:t>
      </w:r>
      <w:r w:rsidR="002E0228">
        <w:rPr>
          <w:rFonts w:ascii="David" w:eastAsia="David" w:hAnsi="David" w:cs="David" w:hint="cs"/>
          <w:color w:val="000000"/>
          <w:sz w:val="24"/>
          <w:szCs w:val="24"/>
          <w:rtl/>
        </w:rPr>
        <w:t>י</w:t>
      </w:r>
      <w:r>
        <w:rPr>
          <w:rFonts w:ascii="David" w:eastAsia="David" w:hAnsi="David" w:cs="David" w:hint="cs"/>
          <w:color w:val="000000"/>
          <w:sz w:val="24"/>
          <w:szCs w:val="24"/>
          <w:rtl/>
        </w:rPr>
        <w:t>יבום ומטרתו ואת משמעות הגאולה. המורה יבחר עד כמה להעמיק בנושא לפי רמת הכיתה.</w:t>
      </w:r>
    </w:p>
    <w:p w14:paraId="6DE6EF7E" w14:textId="77777777" w:rsidR="00864337" w:rsidRDefault="00864337" w:rsidP="00C80B20">
      <w:pPr>
        <w:spacing w:after="0" w:line="360" w:lineRule="auto"/>
        <w:jc w:val="both"/>
        <w:rPr>
          <w:rFonts w:ascii="David" w:eastAsia="David" w:hAnsi="David" w:cs="David"/>
          <w:sz w:val="24"/>
          <w:szCs w:val="24"/>
        </w:rPr>
      </w:pPr>
    </w:p>
    <w:p w14:paraId="3971D607" w14:textId="77777777" w:rsidR="00482B2A" w:rsidRDefault="00482B2A">
      <w:pPr>
        <w:rPr>
          <w:rFonts w:ascii="David" w:eastAsia="David" w:hAnsi="David" w:cs="David"/>
          <w:b/>
          <w:sz w:val="40"/>
          <w:szCs w:val="40"/>
          <w:rtl/>
        </w:rPr>
      </w:pPr>
      <w:r>
        <w:rPr>
          <w:rFonts w:ascii="David" w:eastAsia="David" w:hAnsi="David" w:cs="David"/>
          <w:b/>
          <w:sz w:val="40"/>
          <w:szCs w:val="40"/>
          <w:rtl/>
        </w:rPr>
        <w:br w:type="page"/>
      </w:r>
    </w:p>
    <w:p w14:paraId="4F7EB7D3" w14:textId="113BAD3E" w:rsidR="00864337" w:rsidRDefault="00864337" w:rsidP="00C80B20">
      <w:pPr>
        <w:spacing w:after="0" w:line="360" w:lineRule="auto"/>
        <w:jc w:val="both"/>
        <w:rPr>
          <w:rFonts w:ascii="David" w:eastAsia="David" w:hAnsi="David" w:cs="David"/>
          <w:b/>
          <w:sz w:val="40"/>
          <w:szCs w:val="40"/>
        </w:rPr>
      </w:pPr>
      <w:r>
        <w:rPr>
          <w:rFonts w:ascii="David" w:eastAsia="David" w:hAnsi="David" w:cs="David"/>
          <w:b/>
          <w:sz w:val="40"/>
          <w:szCs w:val="40"/>
          <w:rtl/>
        </w:rPr>
        <w:lastRenderedPageBreak/>
        <w:t xml:space="preserve">מהלך </w:t>
      </w:r>
    </w:p>
    <w:p w14:paraId="4B5EE7A7" w14:textId="77777777" w:rsidR="00864337" w:rsidRDefault="00864337" w:rsidP="00C80B20">
      <w:pPr>
        <w:spacing w:after="0" w:line="360" w:lineRule="auto"/>
        <w:jc w:val="both"/>
        <w:rPr>
          <w:rFonts w:ascii="David" w:eastAsia="David" w:hAnsi="David" w:cs="David"/>
          <w:b/>
          <w:sz w:val="32"/>
          <w:szCs w:val="32"/>
        </w:rPr>
      </w:pPr>
    </w:p>
    <w:p w14:paraId="12E9CEE2"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 xml:space="preserve">פסוקים א-ה: </w:t>
      </w:r>
    </w:p>
    <w:p w14:paraId="2EB2661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נקרא את הפסוקים, נמקד את הלמידה בהבנת המניע ליוזמה החריגה של נעמי.</w:t>
      </w:r>
    </w:p>
    <w:p w14:paraId="0D02ED07" w14:textId="77777777" w:rsidR="00864337" w:rsidRDefault="00864337" w:rsidP="00C80B20">
      <w:pPr>
        <w:spacing w:after="0" w:line="360" w:lineRule="auto"/>
        <w:jc w:val="both"/>
        <w:rPr>
          <w:rFonts w:ascii="David" w:eastAsia="David" w:hAnsi="David" w:cs="David"/>
          <w:sz w:val="24"/>
          <w:szCs w:val="24"/>
        </w:rPr>
      </w:pPr>
    </w:p>
    <w:p w14:paraId="547EB51B" w14:textId="70B7AF90" w:rsidR="00482B2A"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 xml:space="preserve">מטרתה של נעמי </w:t>
      </w:r>
      <w:proofErr w:type="spellStart"/>
      <w:r>
        <w:rPr>
          <w:rFonts w:ascii="David" w:eastAsia="David" w:hAnsi="David" w:cs="David"/>
          <w:sz w:val="24"/>
          <w:szCs w:val="24"/>
          <w:rtl/>
        </w:rPr>
        <w:t>היתה</w:t>
      </w:r>
      <w:proofErr w:type="spellEnd"/>
      <w:r>
        <w:rPr>
          <w:rFonts w:ascii="David" w:eastAsia="David" w:hAnsi="David" w:cs="David"/>
          <w:sz w:val="24"/>
          <w:szCs w:val="24"/>
          <w:rtl/>
        </w:rPr>
        <w:t xml:space="preserve"> להביא לנישואיה של רות: "בִּתִּי הֲלֹא אֲבַקֶּשׁ לָךְ מָנוֹחַ אֲשֶׁר יִיטַב לָךְ". נעמי החליטה לעשות מעשה, והציעה לרות לרדת אל הגורן ולפגוש שם את בועז בהיותו לבדו, באופן שיבהיר </w:t>
      </w:r>
      <w:proofErr w:type="spellStart"/>
      <w:r>
        <w:rPr>
          <w:rFonts w:ascii="David" w:eastAsia="David" w:hAnsi="David" w:cs="David"/>
          <w:sz w:val="24"/>
          <w:szCs w:val="24"/>
          <w:rtl/>
        </w:rPr>
        <w:t>לבעז</w:t>
      </w:r>
      <w:proofErr w:type="spellEnd"/>
      <w:r>
        <w:rPr>
          <w:rFonts w:ascii="David" w:eastAsia="David" w:hAnsi="David" w:cs="David"/>
          <w:sz w:val="24"/>
          <w:szCs w:val="24"/>
          <w:rtl/>
        </w:rPr>
        <w:t xml:space="preserve"> את המצוקה של רות ונעמי בהיעדר המשך למשפחה, ואת הציפיה שלהן שבעז </w:t>
      </w:r>
      <w:proofErr w:type="spellStart"/>
      <w:r>
        <w:rPr>
          <w:rFonts w:ascii="David" w:eastAsia="David" w:hAnsi="David" w:cs="David"/>
          <w:sz w:val="24"/>
          <w:szCs w:val="24"/>
          <w:rtl/>
        </w:rPr>
        <w:t>ישא</w:t>
      </w:r>
      <w:proofErr w:type="spellEnd"/>
      <w:r>
        <w:rPr>
          <w:rFonts w:ascii="David" w:eastAsia="David" w:hAnsi="David" w:cs="David"/>
          <w:sz w:val="24"/>
          <w:szCs w:val="24"/>
          <w:rtl/>
        </w:rPr>
        <w:t xml:space="preserve"> את רות וילדיהם ימשיכו את משפחת אלי</w:t>
      </w:r>
      <w:r w:rsidR="00482B2A">
        <w:rPr>
          <w:rFonts w:ascii="David" w:eastAsia="David" w:hAnsi="David" w:cs="David"/>
          <w:sz w:val="24"/>
          <w:szCs w:val="24"/>
          <w:rtl/>
        </w:rPr>
        <w:t>מלך. רות הסכימה לת</w:t>
      </w:r>
      <w:r w:rsidR="002E0228">
        <w:rPr>
          <w:rFonts w:ascii="David" w:eastAsia="David" w:hAnsi="David" w:cs="David" w:hint="cs"/>
          <w:sz w:val="24"/>
          <w:szCs w:val="24"/>
          <w:rtl/>
        </w:rPr>
        <w:t>ו</w:t>
      </w:r>
      <w:r w:rsidR="00482B2A">
        <w:rPr>
          <w:rFonts w:ascii="David" w:eastAsia="David" w:hAnsi="David" w:cs="David"/>
          <w:sz w:val="24"/>
          <w:szCs w:val="24"/>
          <w:rtl/>
        </w:rPr>
        <w:t>כניתה של נעמי</w:t>
      </w:r>
      <w:r>
        <w:rPr>
          <w:rFonts w:ascii="David" w:eastAsia="David" w:hAnsi="David" w:cs="David"/>
          <w:sz w:val="24"/>
          <w:szCs w:val="24"/>
          <w:rtl/>
        </w:rPr>
        <w:t xml:space="preserve">. </w:t>
      </w:r>
    </w:p>
    <w:p w14:paraId="444BDE44" w14:textId="11CD2CDB" w:rsidR="00864337" w:rsidRDefault="00864337" w:rsidP="00482B2A">
      <w:pPr>
        <w:spacing w:after="0" w:line="360" w:lineRule="auto"/>
        <w:jc w:val="both"/>
        <w:rPr>
          <w:rFonts w:ascii="David" w:eastAsia="David" w:hAnsi="David" w:cs="David"/>
          <w:sz w:val="24"/>
          <w:szCs w:val="24"/>
        </w:rPr>
      </w:pPr>
      <w:r>
        <w:rPr>
          <w:rFonts w:ascii="David" w:eastAsia="David" w:hAnsi="David" w:cs="David"/>
          <w:sz w:val="24"/>
          <w:szCs w:val="24"/>
          <w:rtl/>
        </w:rPr>
        <w:t>המפגש בגורן בבדידות באמצע הלילה מפתיע באשר הוא אינו עולה בקנה אחד עם דיני הצניעות של התורה. הפסוקים מעידים שה</w:t>
      </w:r>
      <w:r w:rsidR="00482B2A">
        <w:rPr>
          <w:rFonts w:ascii="David" w:eastAsia="David" w:hAnsi="David" w:cs="David" w:hint="cs"/>
          <w:sz w:val="24"/>
          <w:szCs w:val="24"/>
          <w:rtl/>
        </w:rPr>
        <w:t>ן רות והן בעז מכירים בכך שה</w:t>
      </w:r>
      <w:r>
        <w:rPr>
          <w:rFonts w:ascii="David" w:eastAsia="David" w:hAnsi="David" w:cs="David"/>
          <w:sz w:val="24"/>
          <w:szCs w:val="24"/>
          <w:rtl/>
        </w:rPr>
        <w:t xml:space="preserve">מעשה הוא מעשה יוצא דופן ורצוי להסתיר אותו - "אַל יִוָּדַע כִּי בָאָה </w:t>
      </w:r>
      <w:proofErr w:type="spellStart"/>
      <w:r>
        <w:rPr>
          <w:rFonts w:ascii="David" w:eastAsia="David" w:hAnsi="David" w:cs="David"/>
          <w:sz w:val="24"/>
          <w:szCs w:val="24"/>
          <w:rtl/>
        </w:rPr>
        <w:t>הָאִשָּׁה</w:t>
      </w:r>
      <w:proofErr w:type="spellEnd"/>
      <w:r>
        <w:rPr>
          <w:rFonts w:ascii="David" w:eastAsia="David" w:hAnsi="David" w:cs="David"/>
          <w:sz w:val="24"/>
          <w:szCs w:val="24"/>
          <w:rtl/>
        </w:rPr>
        <w:t xml:space="preserve"> הַגֹּרֶן". </w:t>
      </w:r>
    </w:p>
    <w:p w14:paraId="2D9A9D70"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מדוע בחרו נעמי ורות בדרך פעולה כזו, במקום לפנות בצורה ישירה וגלויה </w:t>
      </w:r>
      <w:proofErr w:type="spellStart"/>
      <w:r>
        <w:rPr>
          <w:rFonts w:ascii="David" w:eastAsia="David" w:hAnsi="David" w:cs="David"/>
          <w:sz w:val="24"/>
          <w:szCs w:val="24"/>
          <w:rtl/>
        </w:rPr>
        <w:t>לבעז</w:t>
      </w:r>
      <w:proofErr w:type="spellEnd"/>
      <w:r>
        <w:rPr>
          <w:rFonts w:ascii="David" w:eastAsia="David" w:hAnsi="David" w:cs="David"/>
          <w:sz w:val="24"/>
          <w:szCs w:val="24"/>
          <w:rtl/>
        </w:rPr>
        <w:t>?</w:t>
      </w:r>
    </w:p>
    <w:p w14:paraId="1F969726" w14:textId="77777777" w:rsidR="00864337" w:rsidRDefault="00864337" w:rsidP="00C80B20">
      <w:pPr>
        <w:spacing w:after="0" w:line="276" w:lineRule="auto"/>
        <w:ind w:left="-140" w:right="-480"/>
        <w:jc w:val="both"/>
        <w:rPr>
          <w:rFonts w:ascii="David" w:eastAsia="David" w:hAnsi="David" w:cs="David"/>
          <w:sz w:val="24"/>
          <w:szCs w:val="24"/>
        </w:rPr>
      </w:pPr>
      <w:r>
        <w:rPr>
          <w:rFonts w:ascii="David" w:eastAsia="David" w:hAnsi="David" w:cs="David"/>
          <w:sz w:val="24"/>
          <w:szCs w:val="24"/>
        </w:rPr>
        <w:t xml:space="preserve"> </w:t>
      </w:r>
    </w:p>
    <w:p w14:paraId="6F314EE4" w14:textId="163C1D34" w:rsidR="00864337" w:rsidRDefault="00864337" w:rsidP="00482B2A">
      <w:pPr>
        <w:spacing w:after="0" w:line="360" w:lineRule="auto"/>
        <w:jc w:val="both"/>
        <w:rPr>
          <w:rFonts w:ascii="David" w:eastAsia="David" w:hAnsi="David" w:cs="David"/>
          <w:sz w:val="24"/>
          <w:szCs w:val="24"/>
        </w:rPr>
      </w:pPr>
      <w:r>
        <w:rPr>
          <w:rFonts w:ascii="David" w:eastAsia="David" w:hAnsi="David" w:cs="David"/>
          <w:sz w:val="24"/>
          <w:szCs w:val="24"/>
          <w:rtl/>
        </w:rPr>
        <w:t>השאלה כיצד יש להתמודד עם סוגיות מעין אלו בלימ</w:t>
      </w:r>
      <w:r w:rsidR="00482B2A">
        <w:rPr>
          <w:rFonts w:ascii="David" w:eastAsia="David" w:hAnsi="David" w:cs="David"/>
          <w:sz w:val="24"/>
          <w:szCs w:val="24"/>
          <w:rtl/>
        </w:rPr>
        <w:t>וד תורה ונביא מסורה למורה ותלוי</w:t>
      </w:r>
      <w:r>
        <w:rPr>
          <w:rFonts w:ascii="David" w:eastAsia="David" w:hAnsi="David" w:cs="David"/>
          <w:sz w:val="24"/>
          <w:szCs w:val="24"/>
          <w:rtl/>
        </w:rPr>
        <w:t xml:space="preserve">ה בגורמים רבים: באישיותו של המורה, </w:t>
      </w:r>
      <w:r w:rsidR="00482B2A">
        <w:rPr>
          <w:rFonts w:ascii="David" w:eastAsia="David" w:hAnsi="David" w:cs="David" w:hint="cs"/>
          <w:sz w:val="24"/>
          <w:szCs w:val="24"/>
          <w:rtl/>
        </w:rPr>
        <w:t>ב</w:t>
      </w:r>
      <w:r>
        <w:rPr>
          <w:rFonts w:ascii="David" w:eastAsia="David" w:hAnsi="David" w:cs="David"/>
          <w:sz w:val="24"/>
          <w:szCs w:val="24"/>
          <w:rtl/>
        </w:rPr>
        <w:t xml:space="preserve">גישתו החינוכית, </w:t>
      </w:r>
      <w:r w:rsidR="00482B2A">
        <w:rPr>
          <w:rFonts w:ascii="David" w:eastAsia="David" w:hAnsi="David" w:cs="David" w:hint="cs"/>
          <w:sz w:val="24"/>
          <w:szCs w:val="24"/>
          <w:rtl/>
        </w:rPr>
        <w:t>ב</w:t>
      </w:r>
      <w:r>
        <w:rPr>
          <w:rFonts w:ascii="David" w:eastAsia="David" w:hAnsi="David" w:cs="David"/>
          <w:sz w:val="24"/>
          <w:szCs w:val="24"/>
          <w:rtl/>
        </w:rPr>
        <w:t xml:space="preserve">קשר שלו עם תלמידיו ועוד. נציע להלן שתי דרכים להבנת המעשה, המורה יבחר ללמד על פי הדרך הנראית בעיניו. </w:t>
      </w:r>
    </w:p>
    <w:p w14:paraId="51AC629C" w14:textId="77777777" w:rsidR="00864337" w:rsidRDefault="00864337" w:rsidP="00C80B20">
      <w:pPr>
        <w:spacing w:after="0" w:line="360" w:lineRule="auto"/>
        <w:jc w:val="both"/>
        <w:rPr>
          <w:rFonts w:ascii="David" w:eastAsia="David" w:hAnsi="David" w:cs="David"/>
          <w:sz w:val="24"/>
          <w:szCs w:val="24"/>
        </w:rPr>
      </w:pPr>
    </w:p>
    <w:p w14:paraId="5D4FD628" w14:textId="77777777" w:rsidR="00864337" w:rsidRDefault="00864337" w:rsidP="00C80B20">
      <w:pPr>
        <w:spacing w:after="0" w:line="360" w:lineRule="auto"/>
        <w:jc w:val="both"/>
        <w:rPr>
          <w:rFonts w:ascii="David" w:eastAsia="David" w:hAnsi="David" w:cs="David"/>
          <w:sz w:val="24"/>
          <w:szCs w:val="24"/>
          <w:u w:val="single"/>
        </w:rPr>
      </w:pPr>
      <w:r>
        <w:rPr>
          <w:rFonts w:ascii="David" w:eastAsia="David" w:hAnsi="David" w:cs="David"/>
          <w:sz w:val="24"/>
          <w:szCs w:val="24"/>
          <w:u w:val="single"/>
          <w:rtl/>
        </w:rPr>
        <w:t>אפשרות א:</w:t>
      </w:r>
    </w:p>
    <w:p w14:paraId="5AD7B46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נברר יחד מה הייתה המציאות שדחפה את נעמי ואת רות בעקבותיה ליזום את המפגש בסתר: </w:t>
      </w:r>
    </w:p>
    <w:p w14:paraId="20313853" w14:textId="77777777" w:rsidR="00864337" w:rsidRDefault="00864337" w:rsidP="00C80B20">
      <w:pPr>
        <w:numPr>
          <w:ilvl w:val="0"/>
          <w:numId w:val="30"/>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אנחנו יודעים על יחסה של הסביבה לנעמי ולרות? (ניזכר בדברי הנשים ודברי הנער על רות).  </w:t>
      </w:r>
    </w:p>
    <w:p w14:paraId="1B4A9E9F" w14:textId="77777777" w:rsidR="00864337" w:rsidRDefault="00864337" w:rsidP="00C80B20">
      <w:pPr>
        <w:numPr>
          <w:ilvl w:val="0"/>
          <w:numId w:val="30"/>
        </w:numPr>
        <w:pBdr>
          <w:top w:val="nil"/>
          <w:left w:val="nil"/>
          <w:bottom w:val="nil"/>
          <w:right w:val="nil"/>
          <w:between w:val="nil"/>
        </w:pBdr>
        <w:spacing w:after="0" w:line="360" w:lineRule="auto"/>
        <w:jc w:val="both"/>
        <w:rPr>
          <w:rFonts w:ascii="David" w:eastAsia="David" w:hAnsi="David" w:cs="David"/>
          <w:sz w:val="24"/>
          <w:szCs w:val="24"/>
        </w:rPr>
      </w:pPr>
      <w:r>
        <w:rPr>
          <w:rFonts w:ascii="David" w:eastAsia="David" w:hAnsi="David" w:cs="David"/>
          <w:color w:val="000000"/>
          <w:sz w:val="24"/>
          <w:szCs w:val="24"/>
          <w:rtl/>
        </w:rPr>
        <w:t xml:space="preserve">בועז ידע על קרבת המשפחה, מדוע לא יזם קשר עם רות? </w:t>
      </w:r>
    </w:p>
    <w:p w14:paraId="18B404C5"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r>
        <w:rPr>
          <w:rFonts w:ascii="David" w:eastAsia="David" w:hAnsi="David" w:cs="David"/>
          <w:color w:val="000000"/>
          <w:sz w:val="24"/>
          <w:szCs w:val="24"/>
          <w:rtl/>
        </w:rPr>
        <w:t xml:space="preserve">(כאן נוכל להזכיר את האיסור על נישואין למואבי, ואת המחלוקת בשאלת הנישואין למואבית). </w:t>
      </w:r>
    </w:p>
    <w:p w14:paraId="4D27A639" w14:textId="77777777" w:rsidR="00864337" w:rsidRDefault="00864337" w:rsidP="00C80B20">
      <w:pPr>
        <w:spacing w:after="0" w:line="360" w:lineRule="auto"/>
        <w:jc w:val="both"/>
        <w:rPr>
          <w:rFonts w:ascii="David" w:eastAsia="David" w:hAnsi="David" w:cs="David"/>
          <w:sz w:val="24"/>
          <w:szCs w:val="24"/>
        </w:rPr>
      </w:pPr>
    </w:p>
    <w:p w14:paraId="0520BC71" w14:textId="073E90EC"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אנו מבינים שהתקשרות בין בועז לרות נחשבה לדבר לא צפוי שעלול היה לעורר התנגדות רבה בבית לחם. כך מלמדים אותנו חז"ל, המזכירים את איסור הנישואים למואב, ואת החידוש ההלכתי המבחין בין מואבי למואבית.  נעמי הבינה את מורכבות המצב, וידעה שרק מפגש שהוא מול בועז בלבד, ללא התערבות הסביבה, יכול להניע את התהליך הזה. </w:t>
      </w:r>
    </w:p>
    <w:p w14:paraId="53E9E576" w14:textId="63B47822" w:rsidR="00864337" w:rsidRDefault="00864337" w:rsidP="00482B2A">
      <w:pPr>
        <w:pBdr>
          <w:bottom w:val="none" w:sz="0" w:space="5" w:color="000000"/>
        </w:pBdr>
        <w:shd w:val="clear" w:color="auto" w:fill="FFFFFF"/>
        <w:spacing w:before="100" w:after="0" w:line="360" w:lineRule="auto"/>
        <w:jc w:val="both"/>
        <w:rPr>
          <w:rFonts w:ascii="David" w:eastAsia="David" w:hAnsi="David" w:cs="David"/>
          <w:sz w:val="24"/>
          <w:szCs w:val="24"/>
        </w:rPr>
      </w:pPr>
      <w:r>
        <w:rPr>
          <w:rFonts w:ascii="David" w:eastAsia="David" w:hAnsi="David" w:cs="David"/>
          <w:sz w:val="24"/>
          <w:szCs w:val="24"/>
          <w:rtl/>
        </w:rPr>
        <w:t>בסופו של התהליך, בפרק ד' נישאים בעז ורות זה לזו לעיני הזקנים וכל העם ה</w:t>
      </w:r>
      <w:r w:rsidR="00482B2A">
        <w:rPr>
          <w:rFonts w:ascii="David" w:eastAsia="David" w:hAnsi="David" w:cs="David"/>
          <w:sz w:val="24"/>
          <w:szCs w:val="24"/>
          <w:rtl/>
        </w:rPr>
        <w:t xml:space="preserve">מברכים את נישואיהם ומאחלים להם </w:t>
      </w:r>
      <w:r w:rsidR="00482B2A">
        <w:rPr>
          <w:rFonts w:ascii="David" w:eastAsia="David" w:hAnsi="David" w:cs="David" w:hint="cs"/>
          <w:sz w:val="24"/>
          <w:szCs w:val="24"/>
          <w:rtl/>
        </w:rPr>
        <w:t>"</w:t>
      </w:r>
      <w:r>
        <w:t xml:space="preserve"> </w:t>
      </w:r>
      <w:proofErr w:type="spellStart"/>
      <w:r>
        <w:rPr>
          <w:rFonts w:ascii="David" w:eastAsia="David" w:hAnsi="David" w:cs="David"/>
          <w:sz w:val="24"/>
          <w:szCs w:val="24"/>
          <w:rtl/>
        </w:rPr>
        <w:t>יִתֵּן</w:t>
      </w:r>
      <w:proofErr w:type="spellEnd"/>
      <w:r>
        <w:rPr>
          <w:rFonts w:ascii="David" w:eastAsia="David" w:hAnsi="David" w:cs="David"/>
          <w:sz w:val="24"/>
          <w:szCs w:val="24"/>
          <w:rtl/>
        </w:rPr>
        <w:t xml:space="preserve"> ה' אֶת </w:t>
      </w:r>
      <w:proofErr w:type="spellStart"/>
      <w:r>
        <w:rPr>
          <w:rFonts w:ascii="David" w:eastAsia="David" w:hAnsi="David" w:cs="David"/>
          <w:sz w:val="24"/>
          <w:szCs w:val="24"/>
          <w:rtl/>
        </w:rPr>
        <w:t>הָאִשָּׁה</w:t>
      </w:r>
      <w:proofErr w:type="spellEnd"/>
      <w:r>
        <w:rPr>
          <w:rFonts w:ascii="David" w:eastAsia="David" w:hAnsi="David" w:cs="David"/>
          <w:sz w:val="24"/>
          <w:szCs w:val="24"/>
          <w:rtl/>
        </w:rPr>
        <w:t xml:space="preserve"> הַבָּאָה אֶל בֵּיתֶךָ כְּרָחֵל וּכְלֵאָה אֲשֶׁר בָּנוּ </w:t>
      </w:r>
      <w:proofErr w:type="spellStart"/>
      <w:r>
        <w:rPr>
          <w:rFonts w:ascii="David" w:eastAsia="David" w:hAnsi="David" w:cs="David"/>
          <w:sz w:val="24"/>
          <w:szCs w:val="24"/>
          <w:rtl/>
        </w:rPr>
        <w:t>שְׁתֵּיהֶם</w:t>
      </w:r>
      <w:proofErr w:type="spellEnd"/>
      <w:r>
        <w:rPr>
          <w:rFonts w:ascii="David" w:eastAsia="David" w:hAnsi="David" w:cs="David"/>
          <w:sz w:val="24"/>
          <w:szCs w:val="24"/>
          <w:rtl/>
        </w:rPr>
        <w:t xml:space="preserve"> אֶת בֵּית יִשְׂרָאֵל" (ד, יא).  גם הקב"ה שותף בהצלחת הנישואים ו"מסייע" ללידת בן </w:t>
      </w:r>
      <w:proofErr w:type="spellStart"/>
      <w:r>
        <w:rPr>
          <w:rFonts w:ascii="David" w:eastAsia="David" w:hAnsi="David" w:cs="David"/>
          <w:sz w:val="24"/>
          <w:szCs w:val="24"/>
          <w:rtl/>
        </w:rPr>
        <w:t>לבעז</w:t>
      </w:r>
      <w:proofErr w:type="spellEnd"/>
      <w:r>
        <w:rPr>
          <w:rFonts w:ascii="David" w:eastAsia="David" w:hAnsi="David" w:cs="David"/>
          <w:sz w:val="24"/>
          <w:szCs w:val="24"/>
          <w:rtl/>
        </w:rPr>
        <w:t xml:space="preserve"> ולרות:  "</w:t>
      </w:r>
      <w:r>
        <w:t xml:space="preserve"> </w:t>
      </w:r>
      <w:proofErr w:type="spellStart"/>
      <w:r>
        <w:rPr>
          <w:rFonts w:ascii="David" w:eastAsia="David" w:hAnsi="David" w:cs="David"/>
          <w:sz w:val="24"/>
          <w:szCs w:val="24"/>
          <w:rtl/>
        </w:rPr>
        <w:t>וַיִּתֵּן</w:t>
      </w:r>
      <w:proofErr w:type="spellEnd"/>
      <w:r>
        <w:rPr>
          <w:rFonts w:ascii="David" w:eastAsia="David" w:hAnsi="David" w:cs="David"/>
          <w:sz w:val="24"/>
          <w:szCs w:val="24"/>
          <w:rtl/>
        </w:rPr>
        <w:t xml:space="preserve"> ה' לָהּ הֵרָיוֹן וַתֵּלֶד בֵּן" (ד, </w:t>
      </w:r>
      <w:proofErr w:type="spellStart"/>
      <w:r>
        <w:rPr>
          <w:rFonts w:ascii="David" w:eastAsia="David" w:hAnsi="David" w:cs="David"/>
          <w:sz w:val="24"/>
          <w:szCs w:val="24"/>
          <w:rtl/>
        </w:rPr>
        <w:t>יג</w:t>
      </w:r>
      <w:proofErr w:type="spellEnd"/>
      <w:r>
        <w:rPr>
          <w:rFonts w:ascii="David" w:eastAsia="David" w:hAnsi="David" w:cs="David"/>
          <w:sz w:val="24"/>
          <w:szCs w:val="24"/>
          <w:rtl/>
        </w:rPr>
        <w:t>).</w:t>
      </w:r>
      <w:r w:rsidR="00482B2A">
        <w:rPr>
          <w:rFonts w:ascii="David" w:eastAsia="David" w:hAnsi="David" w:cs="David" w:hint="cs"/>
          <w:sz w:val="24"/>
          <w:szCs w:val="24"/>
          <w:rtl/>
        </w:rPr>
        <w:t xml:space="preserve"> מדברי הזקנים ועוד יותר מכך מ"שותפותו" של הקב"ה בלידת הבן שיקום על שם המת, מביעה המגילה את דעתה החיובית על המעשה. </w:t>
      </w:r>
    </w:p>
    <w:p w14:paraId="4F14B25D" w14:textId="77777777" w:rsidR="00864337" w:rsidRPr="00482B2A" w:rsidRDefault="00864337" w:rsidP="00C80B20">
      <w:pPr>
        <w:spacing w:after="0" w:line="360" w:lineRule="auto"/>
        <w:jc w:val="both"/>
        <w:rPr>
          <w:rFonts w:ascii="David" w:eastAsia="David" w:hAnsi="David" w:cs="David"/>
          <w:sz w:val="24"/>
          <w:szCs w:val="24"/>
        </w:rPr>
      </w:pPr>
    </w:p>
    <w:p w14:paraId="680B7319" w14:textId="77777777" w:rsidR="00864337" w:rsidRDefault="00864337" w:rsidP="00C80B20">
      <w:pPr>
        <w:spacing w:after="0" w:line="360" w:lineRule="auto"/>
        <w:jc w:val="both"/>
        <w:rPr>
          <w:rFonts w:ascii="David" w:eastAsia="David" w:hAnsi="David" w:cs="David"/>
          <w:sz w:val="24"/>
          <w:szCs w:val="24"/>
          <w:u w:val="single"/>
        </w:rPr>
      </w:pPr>
      <w:r>
        <w:rPr>
          <w:rFonts w:ascii="David" w:eastAsia="David" w:hAnsi="David" w:cs="David"/>
          <w:sz w:val="24"/>
          <w:szCs w:val="24"/>
          <w:u w:val="single"/>
          <w:rtl/>
        </w:rPr>
        <w:t>אפשרות ב:</w:t>
      </w:r>
    </w:p>
    <w:p w14:paraId="1A4B73B4" w14:textId="2C926010" w:rsidR="00864337" w:rsidRDefault="00864337" w:rsidP="00482B2A">
      <w:pPr>
        <w:spacing w:after="0" w:line="360" w:lineRule="auto"/>
        <w:jc w:val="both"/>
        <w:rPr>
          <w:rFonts w:ascii="David" w:eastAsia="David" w:hAnsi="David" w:cs="David"/>
          <w:sz w:val="24"/>
          <w:szCs w:val="24"/>
        </w:rPr>
      </w:pPr>
      <w:r>
        <w:rPr>
          <w:rFonts w:ascii="David" w:eastAsia="David" w:hAnsi="David" w:cs="David"/>
          <w:sz w:val="24"/>
          <w:szCs w:val="24"/>
          <w:rtl/>
        </w:rPr>
        <w:t>בהקדמתו לפירושו למגילת רות עוסק האלשיך במעשה של רות. בפירושו מבאר האלשיך שהמעשה שעשתה רות אמנם אינו הולם את ההלכה אך כפי שניתן לראות מן המגילה הוא מקובל על הקב"ה</w:t>
      </w:r>
      <w:r w:rsidR="00482B2A">
        <w:rPr>
          <w:rFonts w:ascii="David" w:eastAsia="David" w:hAnsi="David" w:cs="David" w:hint="cs"/>
          <w:sz w:val="24"/>
          <w:szCs w:val="24"/>
          <w:rtl/>
        </w:rPr>
        <w:t xml:space="preserve"> (כפי שהוסבר לעיל - </w:t>
      </w:r>
      <w:r w:rsidR="00482B2A">
        <w:rPr>
          <w:rFonts w:ascii="David" w:eastAsia="David" w:hAnsi="David" w:cs="David"/>
          <w:sz w:val="24"/>
          <w:szCs w:val="24"/>
          <w:rtl/>
        </w:rPr>
        <w:t>"</w:t>
      </w:r>
      <w:r w:rsidR="00482B2A">
        <w:t xml:space="preserve"> </w:t>
      </w:r>
      <w:proofErr w:type="spellStart"/>
      <w:r w:rsidR="00482B2A">
        <w:rPr>
          <w:rFonts w:ascii="David" w:eastAsia="David" w:hAnsi="David" w:cs="David"/>
          <w:sz w:val="24"/>
          <w:szCs w:val="24"/>
          <w:rtl/>
        </w:rPr>
        <w:t>וַיִּתֵּן</w:t>
      </w:r>
      <w:proofErr w:type="spellEnd"/>
      <w:r w:rsidR="00482B2A">
        <w:rPr>
          <w:rFonts w:ascii="David" w:eastAsia="David" w:hAnsi="David" w:cs="David"/>
          <w:sz w:val="24"/>
          <w:szCs w:val="24"/>
          <w:rtl/>
        </w:rPr>
        <w:t xml:space="preserve"> ה' לָהּ הֵרָיוֹן וַתֵּלֶד בֵּן" </w:t>
      </w:r>
      <w:r w:rsidR="00482B2A">
        <w:rPr>
          <w:rFonts w:ascii="David" w:eastAsia="David" w:hAnsi="David" w:cs="David" w:hint="cs"/>
          <w:sz w:val="24"/>
          <w:szCs w:val="24"/>
          <w:rtl/>
        </w:rPr>
        <w:t>[</w:t>
      </w:r>
      <w:r w:rsidR="00482B2A">
        <w:rPr>
          <w:rFonts w:ascii="David" w:eastAsia="David" w:hAnsi="David" w:cs="David"/>
          <w:sz w:val="24"/>
          <w:szCs w:val="24"/>
          <w:rtl/>
        </w:rPr>
        <w:t xml:space="preserve">ד, </w:t>
      </w:r>
      <w:proofErr w:type="spellStart"/>
      <w:r w:rsidR="00482B2A">
        <w:rPr>
          <w:rFonts w:ascii="David" w:eastAsia="David" w:hAnsi="David" w:cs="David"/>
          <w:sz w:val="24"/>
          <w:szCs w:val="24"/>
          <w:rtl/>
        </w:rPr>
        <w:t>יג</w:t>
      </w:r>
      <w:proofErr w:type="spellEnd"/>
      <w:r w:rsidR="00482B2A">
        <w:rPr>
          <w:rFonts w:ascii="David" w:eastAsia="David" w:hAnsi="David" w:cs="David" w:hint="cs"/>
          <w:sz w:val="24"/>
          <w:szCs w:val="24"/>
          <w:rtl/>
        </w:rPr>
        <w:t>])</w:t>
      </w:r>
      <w:r w:rsidR="00482B2A">
        <w:rPr>
          <w:rFonts w:ascii="David" w:eastAsia="David" w:hAnsi="David" w:cs="David"/>
          <w:sz w:val="24"/>
          <w:szCs w:val="24"/>
          <w:rtl/>
        </w:rPr>
        <w:t>.</w:t>
      </w:r>
      <w:r>
        <w:rPr>
          <w:rFonts w:ascii="David" w:eastAsia="David" w:hAnsi="David" w:cs="David"/>
          <w:sz w:val="24"/>
          <w:szCs w:val="24"/>
          <w:rtl/>
        </w:rPr>
        <w:t xml:space="preserve"> וזאת משום שמניעיה של רות היו לשם שמים. </w:t>
      </w:r>
    </w:p>
    <w:p w14:paraId="5BA29043" w14:textId="205A0BC0" w:rsidR="00482B2A" w:rsidRDefault="00482B2A">
      <w:pPr>
        <w:rPr>
          <w:rFonts w:ascii="David" w:eastAsia="David" w:hAnsi="David" w:cs="David"/>
          <w:sz w:val="24"/>
          <w:szCs w:val="24"/>
          <w:rtl/>
        </w:rPr>
      </w:pPr>
      <w:r>
        <w:rPr>
          <w:rFonts w:ascii="David" w:eastAsia="David" w:hAnsi="David" w:cs="David"/>
          <w:sz w:val="24"/>
          <w:szCs w:val="24"/>
          <w:rtl/>
        </w:rPr>
        <w:br w:type="page"/>
      </w:r>
    </w:p>
    <w:p w14:paraId="06854C4F"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lastRenderedPageBreak/>
        <w:t xml:space="preserve">אלשיך: "השמע עם או הנהיה כדבר הזה. כי תקום בעוד לילה יפה נערה מאד. </w:t>
      </w:r>
      <w:proofErr w:type="spellStart"/>
      <w:r>
        <w:rPr>
          <w:rFonts w:ascii="David" w:eastAsia="David" w:hAnsi="David" w:cs="David"/>
          <w:sz w:val="24"/>
          <w:szCs w:val="24"/>
          <w:rtl/>
        </w:rPr>
        <w:t>ותבא</w:t>
      </w:r>
      <w:proofErr w:type="spellEnd"/>
      <w:r>
        <w:rPr>
          <w:rFonts w:ascii="David" w:eastAsia="David" w:hAnsi="David" w:cs="David"/>
          <w:sz w:val="24"/>
          <w:szCs w:val="24"/>
          <w:rtl/>
        </w:rPr>
        <w:t xml:space="preserve"> בלט </w:t>
      </w:r>
      <w:proofErr w:type="spellStart"/>
      <w:r>
        <w:rPr>
          <w:rFonts w:ascii="David" w:eastAsia="David" w:hAnsi="David" w:cs="David"/>
          <w:sz w:val="24"/>
          <w:szCs w:val="24"/>
          <w:rtl/>
        </w:rPr>
        <w:t>ותגל</w:t>
      </w:r>
      <w:proofErr w:type="spellEnd"/>
      <w:r>
        <w:rPr>
          <w:rFonts w:ascii="David" w:eastAsia="David" w:hAnsi="David" w:cs="David"/>
          <w:sz w:val="24"/>
          <w:szCs w:val="24"/>
          <w:rtl/>
        </w:rPr>
        <w:t xml:space="preserve"> מרגלות איש שר וגדול בישראל. לשכב אצלו להיות עמו ולא יכלימוה? כי אם אדרבא </w:t>
      </w:r>
      <w:proofErr w:type="spellStart"/>
      <w:r>
        <w:rPr>
          <w:rFonts w:ascii="David" w:eastAsia="David" w:hAnsi="David" w:cs="David"/>
          <w:sz w:val="24"/>
          <w:szCs w:val="24"/>
          <w:rtl/>
        </w:rPr>
        <w:t>אלהים</w:t>
      </w:r>
      <w:proofErr w:type="spellEnd"/>
      <w:r>
        <w:rPr>
          <w:rFonts w:ascii="David" w:eastAsia="David" w:hAnsi="David" w:cs="David"/>
          <w:sz w:val="24"/>
          <w:szCs w:val="24"/>
          <w:rtl/>
        </w:rPr>
        <w:t xml:space="preserve"> חשבה לטובה </w:t>
      </w:r>
      <w:proofErr w:type="spellStart"/>
      <w:r>
        <w:rPr>
          <w:rFonts w:ascii="David" w:eastAsia="David" w:hAnsi="David" w:cs="David"/>
          <w:sz w:val="24"/>
          <w:szCs w:val="24"/>
          <w:rtl/>
        </w:rPr>
        <w:t>ויתן</w:t>
      </w:r>
      <w:proofErr w:type="spellEnd"/>
      <w:r>
        <w:rPr>
          <w:rFonts w:ascii="David" w:eastAsia="David" w:hAnsi="David" w:cs="David"/>
          <w:sz w:val="24"/>
          <w:szCs w:val="24"/>
          <w:rtl/>
        </w:rPr>
        <w:t xml:space="preserve"> שכרה מיד ולדורות. כי נתן ה' לה הריון ותלד בן. הוא עובד אבי </w:t>
      </w:r>
      <w:proofErr w:type="spellStart"/>
      <w:r>
        <w:rPr>
          <w:rFonts w:ascii="David" w:eastAsia="David" w:hAnsi="David" w:cs="David"/>
          <w:sz w:val="24"/>
          <w:szCs w:val="24"/>
          <w:rtl/>
        </w:rPr>
        <w:t>אבי</w:t>
      </w:r>
      <w:proofErr w:type="spellEnd"/>
      <w:r>
        <w:rPr>
          <w:rFonts w:ascii="David" w:eastAsia="David" w:hAnsi="David" w:cs="David"/>
          <w:sz w:val="24"/>
          <w:szCs w:val="24"/>
          <w:rtl/>
        </w:rPr>
        <w:t xml:space="preserve"> דוד. אשר למי כל חמדת ישראל אם לא לדוד ולזרעו עד עולם? אך אין זה כי אם שאל זה יביט </w:t>
      </w:r>
      <w:proofErr w:type="spellStart"/>
      <w:r>
        <w:rPr>
          <w:rFonts w:ascii="David" w:eastAsia="David" w:hAnsi="David" w:cs="David"/>
          <w:sz w:val="24"/>
          <w:szCs w:val="24"/>
          <w:rtl/>
        </w:rPr>
        <w:t>אלהי</w:t>
      </w:r>
      <w:proofErr w:type="spellEnd"/>
      <w:r>
        <w:rPr>
          <w:rFonts w:ascii="David" w:eastAsia="David" w:hAnsi="David" w:cs="David"/>
          <w:sz w:val="24"/>
          <w:szCs w:val="24"/>
          <w:rtl/>
        </w:rPr>
        <w:t xml:space="preserve"> הרוחות לכל בשר בלבד. לאשר </w:t>
      </w:r>
      <w:proofErr w:type="spellStart"/>
      <w:r>
        <w:rPr>
          <w:rFonts w:ascii="David" w:eastAsia="David" w:hAnsi="David" w:cs="David"/>
          <w:sz w:val="24"/>
          <w:szCs w:val="24"/>
          <w:rtl/>
        </w:rPr>
        <w:t>יכוין</w:t>
      </w:r>
      <w:proofErr w:type="spellEnd"/>
      <w:r>
        <w:rPr>
          <w:rFonts w:ascii="David" w:eastAsia="David" w:hAnsi="David" w:cs="David"/>
          <w:sz w:val="24"/>
          <w:szCs w:val="24"/>
          <w:rtl/>
        </w:rPr>
        <w:t xml:space="preserve"> לבו לשמים".</w:t>
      </w:r>
    </w:p>
    <w:p w14:paraId="42CD30BD" w14:textId="77777777" w:rsidR="00864337" w:rsidRDefault="00864337" w:rsidP="00C80B20">
      <w:pPr>
        <w:spacing w:after="0" w:line="360" w:lineRule="auto"/>
        <w:jc w:val="both"/>
        <w:rPr>
          <w:rFonts w:ascii="David" w:eastAsia="David" w:hAnsi="David" w:cs="David"/>
          <w:sz w:val="24"/>
          <w:szCs w:val="24"/>
        </w:rPr>
      </w:pPr>
    </w:p>
    <w:p w14:paraId="54D3ABC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האלשיך מתייחס בדבריו למקרים יוצאים מן הכלל שבהם נחוץ לעשות לשם שמיים מעשה שבכל זמן אחר הוא מעשה אסור. כדוגמה מביא האלשיך את הגמרא במסכת נזיר (</w:t>
      </w:r>
      <w:proofErr w:type="spellStart"/>
      <w:r>
        <w:rPr>
          <w:rFonts w:ascii="David" w:eastAsia="David" w:hAnsi="David" w:cs="David"/>
          <w:sz w:val="24"/>
          <w:szCs w:val="24"/>
          <w:rtl/>
        </w:rPr>
        <w:t>כג</w:t>
      </w:r>
      <w:proofErr w:type="spellEnd"/>
      <w:r>
        <w:rPr>
          <w:rFonts w:ascii="David" w:eastAsia="David" w:hAnsi="David" w:cs="David"/>
          <w:sz w:val="24"/>
          <w:szCs w:val="24"/>
          <w:rtl/>
        </w:rPr>
        <w:t xml:space="preserve"> ע"ב) בה מציינים חז"ל לשבח את </w:t>
      </w:r>
      <w:proofErr w:type="spellStart"/>
      <w:r>
        <w:rPr>
          <w:rFonts w:ascii="David" w:eastAsia="David" w:hAnsi="David" w:cs="David"/>
          <w:sz w:val="24"/>
          <w:szCs w:val="24"/>
          <w:rtl/>
        </w:rPr>
        <w:t>את</w:t>
      </w:r>
      <w:proofErr w:type="spellEnd"/>
      <w:r>
        <w:rPr>
          <w:rFonts w:ascii="David" w:eastAsia="David" w:hAnsi="David" w:cs="David"/>
          <w:sz w:val="24"/>
          <w:szCs w:val="24"/>
          <w:rtl/>
        </w:rPr>
        <w:t xml:space="preserve"> המעשה של תמר או של יעל אשת חבר הקיני למרות שחרגו מכללי הצניעות. גם המעשה של נעמי ורות שייך לתחום הזה.</w:t>
      </w:r>
    </w:p>
    <w:p w14:paraId="577211CA" w14:textId="6FF9C8D1" w:rsidR="00864337" w:rsidRDefault="00864337" w:rsidP="00644215">
      <w:pPr>
        <w:spacing w:after="0" w:line="360" w:lineRule="auto"/>
        <w:jc w:val="both"/>
        <w:rPr>
          <w:rFonts w:ascii="David" w:eastAsia="David" w:hAnsi="David" w:cs="David"/>
          <w:sz w:val="24"/>
          <w:szCs w:val="24"/>
        </w:rPr>
      </w:pPr>
      <w:r>
        <w:rPr>
          <w:rFonts w:ascii="David" w:eastAsia="David" w:hAnsi="David" w:cs="David"/>
          <w:sz w:val="24"/>
          <w:szCs w:val="24"/>
          <w:rtl/>
        </w:rPr>
        <w:t>נעמי יודעת ש</w:t>
      </w:r>
      <w:r w:rsidR="00644215">
        <w:rPr>
          <w:rFonts w:ascii="David" w:eastAsia="David" w:hAnsi="David" w:cs="David" w:hint="cs"/>
          <w:sz w:val="24"/>
          <w:szCs w:val="24"/>
          <w:rtl/>
        </w:rPr>
        <w:t>רצונה ש</w:t>
      </w:r>
      <w:r>
        <w:rPr>
          <w:rFonts w:ascii="David" w:eastAsia="David" w:hAnsi="David" w:cs="David"/>
          <w:sz w:val="24"/>
          <w:szCs w:val="24"/>
          <w:rtl/>
        </w:rPr>
        <w:t xml:space="preserve">בועז </w:t>
      </w:r>
      <w:proofErr w:type="spellStart"/>
      <w:r>
        <w:rPr>
          <w:rFonts w:ascii="David" w:eastAsia="David" w:hAnsi="David" w:cs="David"/>
          <w:sz w:val="24"/>
          <w:szCs w:val="24"/>
          <w:rtl/>
        </w:rPr>
        <w:t>ישא</w:t>
      </w:r>
      <w:proofErr w:type="spellEnd"/>
      <w:r>
        <w:rPr>
          <w:rFonts w:ascii="David" w:eastAsia="David" w:hAnsi="David" w:cs="David"/>
          <w:sz w:val="24"/>
          <w:szCs w:val="24"/>
          <w:rtl/>
        </w:rPr>
        <w:t xml:space="preserve"> את רות </w:t>
      </w:r>
      <w:proofErr w:type="spellStart"/>
      <w:r>
        <w:rPr>
          <w:rFonts w:ascii="David" w:eastAsia="David" w:hAnsi="David" w:cs="David"/>
          <w:sz w:val="24"/>
          <w:szCs w:val="24"/>
          <w:rtl/>
        </w:rPr>
        <w:t>המואביה</w:t>
      </w:r>
      <w:proofErr w:type="spellEnd"/>
      <w:r>
        <w:rPr>
          <w:rFonts w:ascii="David" w:eastAsia="David" w:hAnsi="David" w:cs="David"/>
          <w:sz w:val="24"/>
          <w:szCs w:val="24"/>
          <w:rtl/>
        </w:rPr>
        <w:t xml:space="preserve"> לאשה, רחוק מלהיות מובן מאליו. רות היא  נערה ענייה מרקע מואבי שבאה משדה מואב ומלקטת בשדהו של בעז. נעמי רוצה שבעז, אדם מוכר ומכובד "גיבור חיל" </w:t>
      </w:r>
      <w:proofErr w:type="spellStart"/>
      <w:r>
        <w:rPr>
          <w:rFonts w:ascii="David" w:eastAsia="David" w:hAnsi="David" w:cs="David"/>
          <w:sz w:val="24"/>
          <w:szCs w:val="24"/>
          <w:rtl/>
        </w:rPr>
        <w:t>ישא</w:t>
      </w:r>
      <w:proofErr w:type="spellEnd"/>
      <w:r>
        <w:rPr>
          <w:rFonts w:ascii="David" w:eastAsia="David" w:hAnsi="David" w:cs="David"/>
          <w:sz w:val="24"/>
          <w:szCs w:val="24"/>
          <w:rtl/>
        </w:rPr>
        <w:t xml:space="preserve"> אותה לאשה. היא מבקשת להעמיד את בועז ישירות מול חובתו לגאול. היא מקווה שכאשר בועז יפגוש את רות באופן ישיר וישמע את בקשתה "ופרסת כנפך על אמתך כי גואל אתה", הוא יכיר באחת במצווה הגדולה שעומדת בפניו, ויתגבר על כל המחסומים הנדרשים כדי לממש את הקשר הזה. לצורך זה נדרש מפגש ישיר ואישי, שלא יכול לקרות בכל מסגרת אחרת.   </w:t>
      </w:r>
    </w:p>
    <w:p w14:paraId="4E214F12" w14:textId="064A6C8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מטרתם של גדרי הצניעות היא שמירה על טהרת המשפחה בעם ישראל. רות פורצת גדר </w:t>
      </w:r>
      <w:proofErr w:type="spellStart"/>
      <w:r>
        <w:rPr>
          <w:rFonts w:ascii="David" w:eastAsia="David" w:hAnsi="David" w:cs="David"/>
          <w:sz w:val="24"/>
          <w:szCs w:val="24"/>
          <w:rtl/>
        </w:rPr>
        <w:t>מסויים</w:t>
      </w:r>
      <w:proofErr w:type="spellEnd"/>
      <w:r>
        <w:rPr>
          <w:rFonts w:ascii="David" w:eastAsia="David" w:hAnsi="David" w:cs="David"/>
          <w:sz w:val="24"/>
          <w:szCs w:val="24"/>
          <w:rtl/>
        </w:rPr>
        <w:t xml:space="preserve"> של איסור צניעות, מתוך הבנה שבמקרה הזה המעשה שלה יביא להקמת שם לבעלה המת ולבניית משפחה בישראל.  </w:t>
      </w:r>
    </w:p>
    <w:p w14:paraId="6EE33376" w14:textId="77777777" w:rsidR="00864337" w:rsidRDefault="00864337" w:rsidP="00C80B20">
      <w:pPr>
        <w:spacing w:after="0" w:line="360" w:lineRule="auto"/>
        <w:jc w:val="both"/>
        <w:rPr>
          <w:rFonts w:ascii="David" w:eastAsia="David" w:hAnsi="David" w:cs="David"/>
          <w:sz w:val="24"/>
          <w:szCs w:val="24"/>
        </w:rPr>
      </w:pPr>
    </w:p>
    <w:p w14:paraId="46B15020" w14:textId="77777777" w:rsidR="00864337" w:rsidRPr="00644215" w:rsidRDefault="00864337" w:rsidP="00C80B20">
      <w:pPr>
        <w:spacing w:after="0" w:line="360" w:lineRule="auto"/>
        <w:jc w:val="both"/>
        <w:rPr>
          <w:rFonts w:ascii="David" w:eastAsia="David" w:hAnsi="David" w:cs="David"/>
          <w:sz w:val="24"/>
          <w:szCs w:val="24"/>
        </w:rPr>
      </w:pPr>
    </w:p>
    <w:p w14:paraId="1B5BBA1D"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 xml:space="preserve">פסוקים ו-טו </w:t>
      </w:r>
    </w:p>
    <w:p w14:paraId="28FF9FE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פסוקים ו-ט, נשאל: </w:t>
      </w:r>
    </w:p>
    <w:p w14:paraId="71A58787" w14:textId="77777777" w:rsidR="00864337" w:rsidRDefault="00864337" w:rsidP="00C80B20">
      <w:pPr>
        <w:numPr>
          <w:ilvl w:val="0"/>
          <w:numId w:val="31"/>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אילו מילים בפסוקים מלמדות על ההפתעה של בועז כשהתעורר וגילה את רות למרגלותיו? </w:t>
      </w:r>
    </w:p>
    <w:p w14:paraId="764D2B7E" w14:textId="77777777" w:rsidR="00864337" w:rsidRDefault="00864337" w:rsidP="00C80B20">
      <w:pPr>
        <w:numPr>
          <w:ilvl w:val="0"/>
          <w:numId w:val="31"/>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מהי כוונתה של רות בבקשה " וּפָרַשְׂתָּ כְנָפֶךָ עַל אֲמָתְךָ כִּי גֹאֵל אָתָּה"? </w:t>
      </w:r>
    </w:p>
    <w:p w14:paraId="098A7EE2" w14:textId="77777777" w:rsidR="00864337" w:rsidRDefault="00864337" w:rsidP="00C80B20">
      <w:pPr>
        <w:spacing w:after="0" w:line="360" w:lineRule="auto"/>
        <w:jc w:val="both"/>
        <w:rPr>
          <w:rFonts w:ascii="David" w:eastAsia="David" w:hAnsi="David" w:cs="David"/>
          <w:sz w:val="24"/>
          <w:szCs w:val="24"/>
        </w:rPr>
      </w:pPr>
    </w:p>
    <w:p w14:paraId="21324C31" w14:textId="6A8D565C" w:rsidR="00864337" w:rsidRDefault="00864337" w:rsidP="00C80B20">
      <w:pPr>
        <w:shd w:val="clear" w:color="auto" w:fill="FBE5D5"/>
        <w:spacing w:after="0" w:line="360" w:lineRule="auto"/>
        <w:jc w:val="both"/>
        <w:rPr>
          <w:rFonts w:ascii="David" w:eastAsia="David" w:hAnsi="David" w:cs="David"/>
          <w:sz w:val="24"/>
          <w:szCs w:val="24"/>
        </w:rPr>
      </w:pPr>
      <w:r>
        <w:rPr>
          <w:rFonts w:ascii="David" w:eastAsia="David" w:hAnsi="David" w:cs="David"/>
          <w:sz w:val="24"/>
          <w:szCs w:val="24"/>
          <w:rtl/>
        </w:rPr>
        <w:t>נוכל להיעזר בפירוש המסביר</w:t>
      </w:r>
      <w:r w:rsidR="00C164B1">
        <w:rPr>
          <w:rFonts w:ascii="David" w:eastAsia="David" w:hAnsi="David" w:cs="David" w:hint="cs"/>
          <w:sz w:val="24"/>
          <w:szCs w:val="24"/>
          <w:rtl/>
        </w:rPr>
        <w:t xml:space="preserve"> </w:t>
      </w:r>
      <w:r>
        <w:rPr>
          <w:rFonts w:ascii="David" w:eastAsia="David" w:hAnsi="David" w:cs="David"/>
          <w:sz w:val="24"/>
          <w:szCs w:val="24"/>
          <w:rtl/>
        </w:rPr>
        <w:t xml:space="preserve">את הקשר בין הנישואין לבין הגאולה, ומזכירים כי גם אם בועז </w:t>
      </w:r>
      <w:proofErr w:type="spellStart"/>
      <w:r>
        <w:rPr>
          <w:rFonts w:ascii="David" w:eastAsia="David" w:hAnsi="David" w:cs="David"/>
          <w:sz w:val="24"/>
          <w:szCs w:val="24"/>
          <w:rtl/>
        </w:rPr>
        <w:t>מחוייב</w:t>
      </w:r>
      <w:proofErr w:type="spellEnd"/>
      <w:r>
        <w:rPr>
          <w:rFonts w:ascii="David" w:eastAsia="David" w:hAnsi="David" w:cs="David"/>
          <w:sz w:val="24"/>
          <w:szCs w:val="24"/>
          <w:rtl/>
        </w:rPr>
        <w:t xml:space="preserve"> לגאול הוא אינו </w:t>
      </w:r>
      <w:proofErr w:type="spellStart"/>
      <w:r>
        <w:rPr>
          <w:rFonts w:ascii="David" w:eastAsia="David" w:hAnsi="David" w:cs="David"/>
          <w:sz w:val="24"/>
          <w:szCs w:val="24"/>
          <w:rtl/>
        </w:rPr>
        <w:t>מחוייב</w:t>
      </w:r>
      <w:proofErr w:type="spellEnd"/>
      <w:r>
        <w:rPr>
          <w:rFonts w:ascii="David" w:eastAsia="David" w:hAnsi="David" w:cs="David"/>
          <w:sz w:val="24"/>
          <w:szCs w:val="24"/>
          <w:rtl/>
        </w:rPr>
        <w:t xml:space="preserve"> לשאת את רות</w:t>
      </w:r>
      <w:r w:rsidR="00C164B1">
        <w:rPr>
          <w:rFonts w:ascii="David" w:eastAsia="David" w:hAnsi="David" w:cs="David" w:hint="cs"/>
          <w:sz w:val="24"/>
          <w:szCs w:val="24"/>
          <w:rtl/>
        </w:rPr>
        <w:t>:</w:t>
      </w:r>
    </w:p>
    <w:p w14:paraId="52A0B4B2" w14:textId="77777777" w:rsidR="00864337" w:rsidRDefault="00864337" w:rsidP="00C80B20">
      <w:pPr>
        <w:shd w:val="clear" w:color="auto" w:fill="FBE5D5"/>
        <w:spacing w:after="0" w:line="360" w:lineRule="auto"/>
        <w:jc w:val="both"/>
        <w:rPr>
          <w:rFonts w:ascii="David" w:eastAsia="David" w:hAnsi="David" w:cs="David"/>
          <w:sz w:val="24"/>
          <w:szCs w:val="24"/>
        </w:rPr>
      </w:pPr>
    </w:p>
    <w:p w14:paraId="7A40F2AB" w14:textId="22A6E7FD" w:rsidR="00864337" w:rsidRDefault="00864337" w:rsidP="00C80B20">
      <w:pPr>
        <w:shd w:val="clear" w:color="auto" w:fill="FBE5D5"/>
        <w:spacing w:after="0" w:line="360" w:lineRule="auto"/>
        <w:jc w:val="both"/>
        <w:rPr>
          <w:rFonts w:ascii="David" w:eastAsia="David" w:hAnsi="David" w:cs="David"/>
          <w:sz w:val="24"/>
          <w:szCs w:val="24"/>
          <w:rtl/>
        </w:rPr>
      </w:pPr>
      <w:r>
        <w:rPr>
          <w:rFonts w:ascii="David" w:eastAsia="David" w:hAnsi="David" w:cs="David"/>
          <w:sz w:val="24"/>
          <w:szCs w:val="24"/>
          <w:rtl/>
        </w:rPr>
        <w:t xml:space="preserve">ר' ישעיה </w:t>
      </w:r>
      <w:proofErr w:type="spellStart"/>
      <w:r>
        <w:rPr>
          <w:rFonts w:ascii="David" w:eastAsia="David" w:hAnsi="David" w:cs="David"/>
          <w:sz w:val="24"/>
          <w:szCs w:val="24"/>
          <w:rtl/>
        </w:rPr>
        <w:t>מיטראני</w:t>
      </w:r>
      <w:proofErr w:type="spellEnd"/>
      <w:r>
        <w:rPr>
          <w:rFonts w:ascii="David" w:eastAsia="David" w:hAnsi="David" w:cs="David"/>
          <w:sz w:val="24"/>
          <w:szCs w:val="24"/>
          <w:rtl/>
        </w:rPr>
        <w:t xml:space="preserve">: ופרשת כנפיך - </w:t>
      </w:r>
      <w:proofErr w:type="spellStart"/>
      <w:r>
        <w:rPr>
          <w:rFonts w:ascii="David" w:eastAsia="David" w:hAnsi="David" w:cs="David"/>
          <w:sz w:val="24"/>
          <w:szCs w:val="24"/>
          <w:rtl/>
        </w:rPr>
        <w:t>ותשאני</w:t>
      </w:r>
      <w:proofErr w:type="spellEnd"/>
      <w:r>
        <w:rPr>
          <w:rFonts w:ascii="David" w:eastAsia="David" w:hAnsi="David" w:cs="David"/>
          <w:sz w:val="24"/>
          <w:szCs w:val="24"/>
          <w:rtl/>
        </w:rPr>
        <w:t xml:space="preserve"> לאשה, להקים זרע לבעלי. כי גואל אתה - לגאול נחלת אישי  ומן התורה לא היה חייב כי אם לגאול נחלת קרובו , אבל </w:t>
      </w:r>
      <w:proofErr w:type="spellStart"/>
      <w:r>
        <w:rPr>
          <w:rFonts w:ascii="David" w:eastAsia="David" w:hAnsi="David" w:cs="David"/>
          <w:sz w:val="24"/>
          <w:szCs w:val="24"/>
          <w:rtl/>
        </w:rPr>
        <w:t>לישא</w:t>
      </w:r>
      <w:proofErr w:type="spellEnd"/>
      <w:r>
        <w:rPr>
          <w:rFonts w:ascii="David" w:eastAsia="David" w:hAnsi="David" w:cs="David"/>
          <w:sz w:val="24"/>
          <w:szCs w:val="24"/>
          <w:rtl/>
        </w:rPr>
        <w:t xml:space="preserve"> אשתו ולהקים לו זרע לא היה חייב; אלא מנהג היה להם לכל אדם שימות בלא בנים ולא היה להם אח ליבם את אשתו , היה הולך קרובו … ונושא אותה ומקיים לו זרע כדרך </w:t>
      </w:r>
      <w:proofErr w:type="spellStart"/>
      <w:r>
        <w:rPr>
          <w:rFonts w:ascii="David" w:eastAsia="David" w:hAnsi="David" w:cs="David"/>
          <w:sz w:val="24"/>
          <w:szCs w:val="24"/>
          <w:rtl/>
        </w:rPr>
        <w:t>היבם</w:t>
      </w:r>
      <w:proofErr w:type="spellEnd"/>
      <w:r>
        <w:rPr>
          <w:rFonts w:ascii="David" w:eastAsia="David" w:hAnsi="David" w:cs="David"/>
          <w:sz w:val="24"/>
          <w:szCs w:val="24"/>
          <w:rtl/>
        </w:rPr>
        <w:t xml:space="preserve"> , והיו מקיימים ומחזיקים במנהג זה כמצוות </w:t>
      </w:r>
      <w:proofErr w:type="spellStart"/>
      <w:r>
        <w:rPr>
          <w:rFonts w:ascii="David" w:eastAsia="David" w:hAnsi="David" w:cs="David"/>
          <w:sz w:val="24"/>
          <w:szCs w:val="24"/>
          <w:rtl/>
        </w:rPr>
        <w:t>יבום</w:t>
      </w:r>
      <w:proofErr w:type="spellEnd"/>
      <w:r>
        <w:rPr>
          <w:rFonts w:ascii="David" w:eastAsia="David" w:hAnsi="David" w:cs="David"/>
          <w:sz w:val="24"/>
          <w:szCs w:val="24"/>
          <w:rtl/>
        </w:rPr>
        <w:t xml:space="preserve"> שהיא מן התורה; כך שמעתי.</w:t>
      </w:r>
    </w:p>
    <w:p w14:paraId="15A89F47" w14:textId="77777777" w:rsidR="00C164B1" w:rsidRDefault="00C164B1" w:rsidP="00C80B20">
      <w:pPr>
        <w:shd w:val="clear" w:color="auto" w:fill="FBE5D5"/>
        <w:spacing w:after="0" w:line="360" w:lineRule="auto"/>
        <w:jc w:val="both"/>
        <w:rPr>
          <w:rFonts w:ascii="David" w:eastAsia="David" w:hAnsi="David" w:cs="David"/>
          <w:sz w:val="24"/>
          <w:szCs w:val="24"/>
          <w:rtl/>
        </w:rPr>
      </w:pPr>
    </w:p>
    <w:p w14:paraId="0CC75243" w14:textId="14E04FFF" w:rsidR="00C164B1" w:rsidRDefault="00C164B1" w:rsidP="00C80B20">
      <w:pPr>
        <w:shd w:val="clear" w:color="auto" w:fill="FBE5D5"/>
        <w:spacing w:after="0" w:line="360" w:lineRule="auto"/>
        <w:jc w:val="both"/>
        <w:rPr>
          <w:rFonts w:ascii="David" w:eastAsia="David" w:hAnsi="David" w:cs="David"/>
          <w:sz w:val="24"/>
          <w:szCs w:val="24"/>
        </w:rPr>
      </w:pPr>
      <w:r w:rsidRPr="00C164B1">
        <w:rPr>
          <w:rFonts w:ascii="David" w:eastAsia="David" w:hAnsi="David" w:cs="David" w:hint="cs"/>
          <w:sz w:val="24"/>
          <w:szCs w:val="24"/>
          <w:u w:val="single"/>
          <w:rtl/>
        </w:rPr>
        <w:t>הערה למורה:</w:t>
      </w:r>
      <w:r>
        <w:rPr>
          <w:rFonts w:ascii="David" w:eastAsia="David" w:hAnsi="David" w:cs="David" w:hint="cs"/>
          <w:sz w:val="24"/>
          <w:szCs w:val="24"/>
          <w:rtl/>
        </w:rPr>
        <w:t xml:space="preserve"> </w:t>
      </w:r>
      <w:r>
        <w:rPr>
          <w:rFonts w:ascii="David" w:eastAsia="David" w:hAnsi="David" w:cs="David"/>
          <w:sz w:val="24"/>
          <w:szCs w:val="24"/>
          <w:rtl/>
        </w:rPr>
        <w:t xml:space="preserve">הוראת </w:t>
      </w:r>
      <w:r>
        <w:rPr>
          <w:rFonts w:ascii="David" w:eastAsia="David" w:hAnsi="David" w:cs="David" w:hint="cs"/>
          <w:sz w:val="24"/>
          <w:szCs w:val="24"/>
          <w:rtl/>
        </w:rPr>
        <w:t>ה</w:t>
      </w:r>
      <w:r>
        <w:rPr>
          <w:rFonts w:ascii="David" w:eastAsia="David" w:hAnsi="David" w:cs="David"/>
          <w:sz w:val="24"/>
          <w:szCs w:val="24"/>
          <w:rtl/>
        </w:rPr>
        <w:t>פירוש</w:t>
      </w:r>
      <w:r>
        <w:rPr>
          <w:rFonts w:ascii="David" w:eastAsia="David" w:hAnsi="David" w:cs="David" w:hint="cs"/>
          <w:sz w:val="24"/>
          <w:szCs w:val="24"/>
          <w:rtl/>
        </w:rPr>
        <w:t xml:space="preserve"> </w:t>
      </w:r>
      <w:r>
        <w:rPr>
          <w:rFonts w:ascii="David" w:eastAsia="David" w:hAnsi="David" w:cs="David"/>
          <w:sz w:val="24"/>
          <w:szCs w:val="24"/>
          <w:rtl/>
        </w:rPr>
        <w:t>אינה חובה</w:t>
      </w:r>
      <w:r>
        <w:rPr>
          <w:rFonts w:ascii="David" w:eastAsia="David" w:hAnsi="David" w:cs="David" w:hint="cs"/>
          <w:sz w:val="24"/>
          <w:szCs w:val="24"/>
          <w:rtl/>
        </w:rPr>
        <w:t>. התלמיד צריך לדעת להסביר את דברי רות.</w:t>
      </w:r>
    </w:p>
    <w:p w14:paraId="28AA7A71" w14:textId="64837CAC" w:rsidR="00644215" w:rsidRDefault="00644215">
      <w:pPr>
        <w:rPr>
          <w:rFonts w:ascii="David" w:eastAsia="David" w:hAnsi="David" w:cs="David"/>
          <w:color w:val="000000"/>
          <w:sz w:val="24"/>
          <w:szCs w:val="24"/>
          <w:rtl/>
        </w:rPr>
      </w:pPr>
      <w:r>
        <w:rPr>
          <w:rFonts w:ascii="David" w:eastAsia="David" w:hAnsi="David" w:cs="David"/>
          <w:color w:val="000000"/>
          <w:sz w:val="24"/>
          <w:szCs w:val="24"/>
          <w:rtl/>
        </w:rPr>
        <w:br w:type="page"/>
      </w:r>
    </w:p>
    <w:p w14:paraId="21741075" w14:textId="77777777" w:rsidR="00C164B1" w:rsidRDefault="00C164B1" w:rsidP="00C80B20">
      <w:pPr>
        <w:pBdr>
          <w:top w:val="nil"/>
          <w:left w:val="nil"/>
          <w:bottom w:val="nil"/>
          <w:right w:val="nil"/>
          <w:between w:val="nil"/>
        </w:pBdr>
        <w:spacing w:after="0" w:line="360" w:lineRule="auto"/>
        <w:jc w:val="both"/>
        <w:rPr>
          <w:rFonts w:ascii="David" w:eastAsia="David" w:hAnsi="David" w:cs="David"/>
          <w:b/>
          <w:color w:val="000000"/>
          <w:sz w:val="24"/>
          <w:szCs w:val="24"/>
          <w:rtl/>
        </w:rPr>
      </w:pPr>
    </w:p>
    <w:p w14:paraId="57AC592A" w14:textId="77777777" w:rsidR="00C164B1" w:rsidRDefault="00C164B1" w:rsidP="00C80B20">
      <w:pPr>
        <w:pBdr>
          <w:top w:val="nil"/>
          <w:left w:val="nil"/>
          <w:bottom w:val="nil"/>
          <w:right w:val="nil"/>
          <w:between w:val="nil"/>
        </w:pBdr>
        <w:spacing w:after="0" w:line="360" w:lineRule="auto"/>
        <w:jc w:val="both"/>
        <w:rPr>
          <w:rFonts w:ascii="David" w:eastAsia="David" w:hAnsi="David" w:cs="David"/>
          <w:b/>
          <w:color w:val="000000"/>
          <w:sz w:val="24"/>
          <w:szCs w:val="24"/>
          <w:rtl/>
        </w:rPr>
      </w:pPr>
    </w:p>
    <w:p w14:paraId="2F27FF51" w14:textId="7CA817F7" w:rsidR="00864337" w:rsidRDefault="00864337" w:rsidP="00C80B20">
      <w:pPr>
        <w:pBdr>
          <w:top w:val="nil"/>
          <w:left w:val="nil"/>
          <w:bottom w:val="nil"/>
          <w:right w:val="nil"/>
          <w:between w:val="nil"/>
        </w:pBdr>
        <w:spacing w:after="0" w:line="360" w:lineRule="auto"/>
        <w:jc w:val="both"/>
        <w:rPr>
          <w:rFonts w:ascii="David" w:eastAsia="David" w:hAnsi="David" w:cs="David"/>
          <w:b/>
          <w:color w:val="000000"/>
          <w:sz w:val="24"/>
          <w:szCs w:val="24"/>
        </w:rPr>
      </w:pPr>
      <w:r>
        <w:rPr>
          <w:rFonts w:ascii="David" w:eastAsia="David" w:hAnsi="David" w:cs="David"/>
          <w:b/>
          <w:color w:val="000000"/>
          <w:sz w:val="24"/>
          <w:szCs w:val="24"/>
          <w:rtl/>
        </w:rPr>
        <w:t xml:space="preserve">נקרא את פסוקים י-טו, נלמד מהם על מידת החסד של בועז:   </w:t>
      </w:r>
    </w:p>
    <w:p w14:paraId="2C7A9E18"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הצעת הוראה: </w:t>
      </w:r>
    </w:p>
    <w:p w14:paraId="770FC61F"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בועז </w:t>
      </w:r>
      <w:r>
        <w:rPr>
          <w:rFonts w:ascii="David" w:eastAsia="David" w:hAnsi="David" w:cs="David"/>
          <w:sz w:val="24"/>
          <w:szCs w:val="24"/>
          <w:u w:val="single"/>
          <w:rtl/>
        </w:rPr>
        <w:t>בחר</w:t>
      </w:r>
      <w:r>
        <w:rPr>
          <w:rFonts w:ascii="David" w:eastAsia="David" w:hAnsi="David" w:cs="David"/>
          <w:sz w:val="24"/>
          <w:szCs w:val="24"/>
          <w:rtl/>
        </w:rPr>
        <w:t xml:space="preserve"> להודות לרות, להרגיע אותה ולהתחייב כלפיה. כדי להבין את </w:t>
      </w:r>
      <w:r>
        <w:rPr>
          <w:rFonts w:ascii="David" w:eastAsia="David" w:hAnsi="David" w:cs="David"/>
          <w:sz w:val="24"/>
          <w:szCs w:val="24"/>
          <w:u w:val="single"/>
          <w:rtl/>
        </w:rPr>
        <w:t>הבחירה</w:t>
      </w:r>
      <w:r>
        <w:rPr>
          <w:rFonts w:ascii="David" w:eastAsia="David" w:hAnsi="David" w:cs="David"/>
          <w:sz w:val="24"/>
          <w:szCs w:val="24"/>
          <w:rtl/>
        </w:rPr>
        <w:t xml:space="preserve"> האמיצה הזו חשוב להבין את האלטרנטיבה: כיצד היה עשוי בועז לפרש את התנהגותה החריגה, ואיך היה יכול להתנהג כלפיה. לפני או אחרי קריאת דבריו לרות כדאי להציג גם את האפשרות האחרת. </w:t>
      </w:r>
    </w:p>
    <w:p w14:paraId="33309770" w14:textId="77777777" w:rsidR="00864337" w:rsidRDefault="00864337" w:rsidP="00C80B20">
      <w:pPr>
        <w:pBdr>
          <w:top w:val="nil"/>
          <w:left w:val="nil"/>
          <w:bottom w:val="nil"/>
          <w:right w:val="nil"/>
          <w:between w:val="nil"/>
        </w:pBdr>
        <w:spacing w:after="0" w:line="360" w:lineRule="auto"/>
        <w:jc w:val="both"/>
        <w:rPr>
          <w:rFonts w:ascii="David" w:eastAsia="David" w:hAnsi="David" w:cs="David"/>
          <w:b/>
          <w:color w:val="000000"/>
          <w:sz w:val="24"/>
          <w:szCs w:val="24"/>
        </w:rPr>
      </w:pPr>
    </w:p>
    <w:p w14:paraId="6A2E670C" w14:textId="77777777" w:rsidR="00864337" w:rsidRDefault="00864337" w:rsidP="00C80B20">
      <w:pPr>
        <w:numPr>
          <w:ilvl w:val="0"/>
          <w:numId w:val="33"/>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בועז פתח את תשובתו לרות בהודיה, על מה הוא הודה? </w:t>
      </w:r>
    </w:p>
    <w:p w14:paraId="11341C84" w14:textId="77777777" w:rsidR="00864337" w:rsidRDefault="00864337" w:rsidP="00C164B1">
      <w:pPr>
        <w:pBdr>
          <w:top w:val="nil"/>
          <w:left w:val="nil"/>
          <w:bottom w:val="nil"/>
          <w:right w:val="nil"/>
          <w:between w:val="nil"/>
        </w:pBdr>
        <w:spacing w:after="0" w:line="360" w:lineRule="auto"/>
        <w:ind w:left="720"/>
        <w:jc w:val="both"/>
        <w:rPr>
          <w:rFonts w:ascii="David" w:eastAsia="David" w:hAnsi="David" w:cs="David"/>
          <w:color w:val="000000"/>
          <w:sz w:val="24"/>
          <w:szCs w:val="24"/>
        </w:rPr>
      </w:pPr>
      <w:r>
        <w:rPr>
          <w:rFonts w:ascii="David" w:eastAsia="David" w:hAnsi="David" w:cs="David"/>
          <w:color w:val="000000"/>
          <w:sz w:val="24"/>
          <w:szCs w:val="24"/>
          <w:rtl/>
        </w:rPr>
        <w:t xml:space="preserve">"הֵיטַבְתְּ חַסְדֵּךְ הָאַחֲרוֹן מִן הָרִאשׁוֹן"- מהו החסד הראשון, ומהו החסד האחרון? (ננחה את התלמידים להעלות אפשרויות שונות), </w:t>
      </w:r>
    </w:p>
    <w:p w14:paraId="1736AFAC" w14:textId="37C8F9A3" w:rsidR="00864337" w:rsidRDefault="00864337" w:rsidP="00C80B20">
      <w:pPr>
        <w:numPr>
          <w:ilvl w:val="0"/>
          <w:numId w:val="33"/>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למה ראה בועז את הפנייה של רות אליו כחסד? (ע"פ מדרש חז"ל- משום שהיה זקן. לפי פירוש </w:t>
      </w:r>
      <w:proofErr w:type="spellStart"/>
      <w:r>
        <w:rPr>
          <w:rFonts w:ascii="David" w:eastAsia="David" w:hAnsi="David" w:cs="David"/>
          <w:color w:val="000000"/>
          <w:sz w:val="24"/>
          <w:szCs w:val="24"/>
          <w:rtl/>
        </w:rPr>
        <w:t>המלב"ים</w:t>
      </w:r>
      <w:proofErr w:type="spellEnd"/>
      <w:r w:rsidR="00644215">
        <w:rPr>
          <w:rFonts w:ascii="David" w:eastAsia="David" w:hAnsi="David" w:cs="David" w:hint="cs"/>
          <w:color w:val="000000"/>
          <w:sz w:val="24"/>
          <w:szCs w:val="24"/>
          <w:rtl/>
        </w:rPr>
        <w:t xml:space="preserve"> </w:t>
      </w:r>
      <w:r>
        <w:rPr>
          <w:rFonts w:ascii="David" w:eastAsia="David" w:hAnsi="David" w:cs="David"/>
          <w:color w:val="000000"/>
          <w:sz w:val="24"/>
          <w:szCs w:val="24"/>
          <w:rtl/>
        </w:rPr>
        <w:t>- הרצון להקים שם לבעל המת הוא חסד כלפי הבעל המת)</w:t>
      </w:r>
      <w:r w:rsidR="001C5C1F">
        <w:rPr>
          <w:rStyle w:val="ad"/>
          <w:rFonts w:ascii="David" w:eastAsia="David" w:hAnsi="David" w:cs="David"/>
          <w:color w:val="000000"/>
          <w:sz w:val="24"/>
          <w:szCs w:val="24"/>
          <w:rtl/>
        </w:rPr>
        <w:footnoteReference w:id="1"/>
      </w:r>
      <w:r>
        <w:rPr>
          <w:rFonts w:ascii="David" w:eastAsia="David" w:hAnsi="David" w:cs="David"/>
          <w:color w:val="000000"/>
          <w:sz w:val="24"/>
          <w:szCs w:val="24"/>
          <w:rtl/>
        </w:rPr>
        <w:t xml:space="preserve">. </w:t>
      </w:r>
    </w:p>
    <w:p w14:paraId="27FE2A69" w14:textId="77777777" w:rsidR="00864337" w:rsidRDefault="00864337" w:rsidP="00C80B20">
      <w:pPr>
        <w:numPr>
          <w:ilvl w:val="0"/>
          <w:numId w:val="33"/>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אילו הנחיות מעשיות הציג בועז? </w:t>
      </w:r>
    </w:p>
    <w:p w14:paraId="5CADB836" w14:textId="77777777" w:rsidR="00864337" w:rsidRDefault="00864337" w:rsidP="00C80B20">
      <w:pPr>
        <w:numPr>
          <w:ilvl w:val="0"/>
          <w:numId w:val="33"/>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אילו ביטויים נוספים נוכל למצוא בדבריו של בועז לרצון שלו להרגיע את רות? </w:t>
      </w:r>
    </w:p>
    <w:p w14:paraId="5F2CCC17" w14:textId="77777777" w:rsidR="00864337" w:rsidRDefault="00864337" w:rsidP="00C80B20">
      <w:pPr>
        <w:pBdr>
          <w:top w:val="nil"/>
          <w:left w:val="nil"/>
          <w:bottom w:val="nil"/>
          <w:right w:val="nil"/>
          <w:between w:val="nil"/>
        </w:pBdr>
        <w:spacing w:after="0" w:line="360" w:lineRule="auto"/>
        <w:jc w:val="both"/>
        <w:rPr>
          <w:rFonts w:ascii="David" w:eastAsia="David" w:hAnsi="David" w:cs="David"/>
          <w:color w:val="000000"/>
          <w:sz w:val="24"/>
          <w:szCs w:val="24"/>
        </w:rPr>
      </w:pPr>
    </w:p>
    <w:p w14:paraId="1F3D9CF4" w14:textId="66E8AADF" w:rsidR="00644215" w:rsidRDefault="00864337" w:rsidP="00644215">
      <w:pPr>
        <w:pBdr>
          <w:top w:val="nil"/>
          <w:left w:val="nil"/>
          <w:bottom w:val="nil"/>
          <w:right w:val="nil"/>
          <w:between w:val="nil"/>
        </w:pBdr>
        <w:spacing w:after="0" w:line="360" w:lineRule="auto"/>
        <w:jc w:val="both"/>
        <w:rPr>
          <w:rFonts w:ascii="David" w:eastAsia="David" w:hAnsi="David" w:cs="David"/>
          <w:color w:val="000000"/>
          <w:sz w:val="24"/>
          <w:szCs w:val="24"/>
          <w:rtl/>
        </w:rPr>
      </w:pPr>
      <w:r>
        <w:rPr>
          <w:rFonts w:ascii="David" w:eastAsia="David" w:hAnsi="David" w:cs="David"/>
          <w:color w:val="000000"/>
          <w:sz w:val="24"/>
          <w:szCs w:val="24"/>
          <w:rtl/>
        </w:rPr>
        <w:t>נאסוף את מה שלמדנו כאן על מידת החסד של בועז</w:t>
      </w:r>
      <w:r w:rsidR="00644215">
        <w:rPr>
          <w:rFonts w:ascii="David" w:eastAsia="David" w:hAnsi="David" w:cs="David" w:hint="cs"/>
          <w:color w:val="000000"/>
          <w:sz w:val="24"/>
          <w:szCs w:val="24"/>
          <w:rtl/>
        </w:rPr>
        <w:t>,</w:t>
      </w:r>
      <w:r>
        <w:rPr>
          <w:rFonts w:ascii="David" w:eastAsia="David" w:hAnsi="David" w:cs="David"/>
          <w:color w:val="000000"/>
          <w:sz w:val="24"/>
          <w:szCs w:val="24"/>
          <w:vertAlign w:val="superscript"/>
        </w:rPr>
        <w:footnoteReference w:id="2"/>
      </w:r>
    </w:p>
    <w:p w14:paraId="23D79E5E" w14:textId="77777777" w:rsidR="00864337" w:rsidRDefault="00864337" w:rsidP="00C80B20">
      <w:pPr>
        <w:pBdr>
          <w:top w:val="nil"/>
          <w:left w:val="nil"/>
          <w:bottom w:val="nil"/>
          <w:right w:val="nil"/>
          <w:between w:val="nil"/>
        </w:pBdr>
        <w:spacing w:after="0" w:line="360" w:lineRule="auto"/>
        <w:jc w:val="both"/>
        <w:rPr>
          <w:rFonts w:ascii="David" w:eastAsia="David" w:hAnsi="David" w:cs="David"/>
          <w:color w:val="8496B0"/>
          <w:sz w:val="24"/>
          <w:szCs w:val="24"/>
          <w:rtl/>
        </w:rPr>
      </w:pPr>
    </w:p>
    <w:p w14:paraId="426A6FB0" w14:textId="77777777" w:rsidR="00C164B1" w:rsidRDefault="00C164B1" w:rsidP="00C80B20">
      <w:pPr>
        <w:pBdr>
          <w:top w:val="nil"/>
          <w:left w:val="nil"/>
          <w:bottom w:val="nil"/>
          <w:right w:val="nil"/>
          <w:between w:val="nil"/>
        </w:pBdr>
        <w:spacing w:after="0" w:line="360" w:lineRule="auto"/>
        <w:jc w:val="both"/>
        <w:rPr>
          <w:rFonts w:ascii="David" w:eastAsia="David" w:hAnsi="David" w:cs="David"/>
          <w:color w:val="8496B0"/>
          <w:sz w:val="24"/>
          <w:szCs w:val="24"/>
        </w:rPr>
      </w:pPr>
    </w:p>
    <w:p w14:paraId="21E341AF" w14:textId="77777777" w:rsidR="00864337" w:rsidRDefault="00864337" w:rsidP="00C80B20">
      <w:pPr>
        <w:spacing w:after="0" w:line="360" w:lineRule="auto"/>
        <w:jc w:val="both"/>
        <w:rPr>
          <w:rFonts w:ascii="David" w:eastAsia="David" w:hAnsi="David" w:cs="David"/>
          <w:b/>
          <w:sz w:val="32"/>
          <w:szCs w:val="32"/>
        </w:rPr>
      </w:pPr>
      <w:r>
        <w:rPr>
          <w:rFonts w:ascii="David" w:eastAsia="David" w:hAnsi="David" w:cs="David"/>
          <w:b/>
          <w:sz w:val="32"/>
          <w:szCs w:val="32"/>
          <w:rtl/>
        </w:rPr>
        <w:t xml:space="preserve">פסוקים </w:t>
      </w:r>
      <w:proofErr w:type="spellStart"/>
      <w:r>
        <w:rPr>
          <w:rFonts w:ascii="David" w:eastAsia="David" w:hAnsi="David" w:cs="David"/>
          <w:b/>
          <w:sz w:val="32"/>
          <w:szCs w:val="32"/>
          <w:rtl/>
        </w:rPr>
        <w:t>טז-יח</w:t>
      </w:r>
      <w:proofErr w:type="spellEnd"/>
    </w:p>
    <w:p w14:paraId="265B9FA2"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הפסוקים המספרים על שובה של רות לבית נעמי בבוקר. </w:t>
      </w:r>
    </w:p>
    <w:p w14:paraId="2407C127"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נעמי שמחה על שבועתו של בועז וציפתה למימוש שלה עוד באותו היום. </w:t>
      </w:r>
    </w:p>
    <w:p w14:paraId="5889AA97" w14:textId="48EDDB9C" w:rsidR="00644215" w:rsidRDefault="00644215">
      <w:pPr>
        <w:rPr>
          <w:rFonts w:ascii="David" w:eastAsia="David" w:hAnsi="David" w:cs="David"/>
          <w:sz w:val="24"/>
          <w:szCs w:val="24"/>
          <w:rtl/>
        </w:rPr>
      </w:pPr>
      <w:r>
        <w:rPr>
          <w:rFonts w:ascii="David" w:eastAsia="David" w:hAnsi="David" w:cs="David"/>
          <w:sz w:val="24"/>
          <w:szCs w:val="24"/>
          <w:rtl/>
        </w:rPr>
        <w:br w:type="page"/>
      </w:r>
    </w:p>
    <w:p w14:paraId="45DB4E57" w14:textId="77777777" w:rsidR="00864337" w:rsidRDefault="00864337" w:rsidP="00C80B20">
      <w:pPr>
        <w:shd w:val="clear" w:color="auto" w:fill="F2F2F2"/>
        <w:spacing w:after="0" w:line="360" w:lineRule="auto"/>
        <w:jc w:val="both"/>
        <w:rPr>
          <w:rFonts w:ascii="David" w:eastAsia="David" w:hAnsi="David" w:cs="David"/>
          <w:sz w:val="24"/>
          <w:szCs w:val="24"/>
        </w:rPr>
      </w:pPr>
    </w:p>
    <w:p w14:paraId="09592717" w14:textId="77777777" w:rsidR="00864337" w:rsidRDefault="00864337" w:rsidP="00C80B20">
      <w:pPr>
        <w:shd w:val="clear" w:color="auto" w:fill="F2F2F2"/>
        <w:spacing w:after="0" w:line="360" w:lineRule="auto"/>
        <w:jc w:val="both"/>
        <w:rPr>
          <w:rFonts w:ascii="David" w:eastAsia="David" w:hAnsi="David" w:cs="David"/>
          <w:sz w:val="24"/>
          <w:szCs w:val="24"/>
        </w:rPr>
      </w:pPr>
    </w:p>
    <w:p w14:paraId="3C3D5BC5" w14:textId="77777777" w:rsidR="00864337" w:rsidRDefault="00864337" w:rsidP="00C80B20">
      <w:pPr>
        <w:shd w:val="clear" w:color="auto" w:fill="F2F2F2"/>
        <w:spacing w:after="0" w:line="360" w:lineRule="auto"/>
        <w:jc w:val="both"/>
        <w:rPr>
          <w:rFonts w:ascii="David" w:eastAsia="David" w:hAnsi="David" w:cs="David"/>
          <w:b/>
          <w:sz w:val="40"/>
          <w:szCs w:val="40"/>
        </w:rPr>
      </w:pPr>
      <w:r>
        <w:rPr>
          <w:rFonts w:ascii="David" w:eastAsia="David" w:hAnsi="David" w:cs="David"/>
          <w:b/>
          <w:sz w:val="40"/>
          <w:szCs w:val="40"/>
          <w:rtl/>
        </w:rPr>
        <w:t>הקשר רחב</w:t>
      </w:r>
    </w:p>
    <w:p w14:paraId="18F67A2C" w14:textId="77777777" w:rsidR="00864337" w:rsidRDefault="00864337" w:rsidP="00C164B1">
      <w:pPr>
        <w:pBdr>
          <w:top w:val="nil"/>
          <w:left w:val="nil"/>
          <w:bottom w:val="nil"/>
          <w:right w:val="nil"/>
          <w:between w:val="nil"/>
        </w:pBdr>
        <w:shd w:val="clear" w:color="auto" w:fill="F2F2F2"/>
        <w:spacing w:after="0" w:line="360" w:lineRule="auto"/>
        <w:ind w:left="720"/>
        <w:jc w:val="both"/>
        <w:rPr>
          <w:rFonts w:ascii="David" w:eastAsia="David" w:hAnsi="David" w:cs="David"/>
          <w:color w:val="000000"/>
          <w:sz w:val="28"/>
          <w:szCs w:val="28"/>
        </w:rPr>
      </w:pPr>
      <w:r>
        <w:rPr>
          <w:rFonts w:ascii="David" w:eastAsia="David" w:hAnsi="David" w:cs="David"/>
          <w:color w:val="000000"/>
          <w:sz w:val="28"/>
          <w:szCs w:val="28"/>
          <w:rtl/>
        </w:rPr>
        <w:t>"אשת חיל"</w:t>
      </w:r>
    </w:p>
    <w:p w14:paraId="42B9A926"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המזמור "אשת חיל" (משלי לא א-י) מושר בבתים רבים בערב שבת לפני הקידוש. </w:t>
      </w:r>
    </w:p>
    <w:p w14:paraId="679AF55D" w14:textId="7C5E0074" w:rsidR="00864337" w:rsidRDefault="00864337" w:rsidP="00C164B1">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המזמור מתאר אישה חרוצה מאד, מרוכזת בנתינה במעגל הקרוב וגומלת חסד עם סביבתה</w:t>
      </w:r>
      <w:r w:rsidR="00C164B1">
        <w:rPr>
          <w:rFonts w:ascii="David" w:eastAsia="David" w:hAnsi="David" w:cs="David" w:hint="cs"/>
          <w:sz w:val="24"/>
          <w:szCs w:val="24"/>
          <w:rtl/>
        </w:rPr>
        <w:t>.</w:t>
      </w:r>
      <w:r>
        <w:rPr>
          <w:rFonts w:ascii="David" w:eastAsia="David" w:hAnsi="David" w:cs="David"/>
          <w:sz w:val="24"/>
          <w:szCs w:val="24"/>
          <w:rtl/>
        </w:rPr>
        <w:t xml:space="preserve"> </w:t>
      </w:r>
    </w:p>
    <w:p w14:paraId="3EC3D377"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הכינוי "אשת חיל" (וגם "איש חיל") מופיע רק במשלי ובמגילת רות. בפרקנו בועז פונה לרות ואומר "כִּי יוֹדֵעַ כָּל שַׁעַר עַמִּי כִּי אֵשֶׁת חַיִל אָתְּ" (פסוק יא). יש קשרים ענייניים רבים בין "אשת חייל" לבין דמותה של רות: האישה החרוצה שמפרנסת את משפחתה, האישה גומלת החסד.  </w:t>
      </w:r>
    </w:p>
    <w:p w14:paraId="79945E88"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מדרש משלי מזהה את אשת החיל עם רות: "</w:t>
      </w:r>
      <w:r>
        <w:rPr>
          <w:rFonts w:ascii="David" w:eastAsia="David" w:hAnsi="David" w:cs="David"/>
          <w:b/>
          <w:sz w:val="24"/>
          <w:szCs w:val="24"/>
          <w:rtl/>
        </w:rPr>
        <w:t xml:space="preserve">רבות בנות עשו חיל, ואת עלית על </w:t>
      </w:r>
      <w:proofErr w:type="spellStart"/>
      <w:r>
        <w:rPr>
          <w:rFonts w:ascii="David" w:eastAsia="David" w:hAnsi="David" w:cs="David"/>
          <w:b/>
          <w:sz w:val="24"/>
          <w:szCs w:val="24"/>
          <w:rtl/>
        </w:rPr>
        <w:t>כולנה</w:t>
      </w:r>
      <w:proofErr w:type="spellEnd"/>
      <w:r>
        <w:rPr>
          <w:rFonts w:ascii="David" w:eastAsia="David" w:hAnsi="David" w:cs="David"/>
          <w:sz w:val="24"/>
          <w:szCs w:val="24"/>
          <w:rtl/>
        </w:rPr>
        <w:t xml:space="preserve"> - זו רות </w:t>
      </w:r>
      <w:proofErr w:type="spellStart"/>
      <w:r>
        <w:rPr>
          <w:rFonts w:ascii="David" w:eastAsia="David" w:hAnsi="David" w:cs="David"/>
          <w:sz w:val="24"/>
          <w:szCs w:val="24"/>
          <w:rtl/>
        </w:rPr>
        <w:t>המואביה</w:t>
      </w:r>
      <w:proofErr w:type="spellEnd"/>
      <w:r>
        <w:rPr>
          <w:rFonts w:ascii="David" w:eastAsia="David" w:hAnsi="David" w:cs="David"/>
          <w:sz w:val="24"/>
          <w:szCs w:val="24"/>
          <w:rtl/>
        </w:rPr>
        <w:t xml:space="preserve">, שנכנסה תחת כנפי השכינה. </w:t>
      </w:r>
      <w:r>
        <w:rPr>
          <w:rFonts w:ascii="David" w:eastAsia="David" w:hAnsi="David" w:cs="David"/>
          <w:b/>
          <w:sz w:val="24"/>
          <w:szCs w:val="24"/>
          <w:rtl/>
        </w:rPr>
        <w:t>שקר החן והבל היופי</w:t>
      </w:r>
      <w:r>
        <w:rPr>
          <w:rFonts w:ascii="David" w:eastAsia="David" w:hAnsi="David" w:cs="David"/>
          <w:sz w:val="24"/>
          <w:szCs w:val="24"/>
          <w:rtl/>
        </w:rPr>
        <w:t xml:space="preserve"> - שהניחה אמה ואבותיה ועושרה, ובאה עם חמותה, וקיבלה כל המצוות... לפיכך זכתה ויצא ממנה דוד, </w:t>
      </w:r>
      <w:proofErr w:type="spellStart"/>
      <w:r>
        <w:rPr>
          <w:rFonts w:ascii="David" w:eastAsia="David" w:hAnsi="David" w:cs="David"/>
          <w:sz w:val="24"/>
          <w:szCs w:val="24"/>
          <w:rtl/>
        </w:rPr>
        <w:t>שריווה</w:t>
      </w:r>
      <w:proofErr w:type="spellEnd"/>
      <w:r>
        <w:rPr>
          <w:rFonts w:ascii="David" w:eastAsia="David" w:hAnsi="David" w:cs="David"/>
          <w:sz w:val="24"/>
          <w:szCs w:val="24"/>
          <w:rtl/>
        </w:rPr>
        <w:t xml:space="preserve"> להקב"ה בשירות </w:t>
      </w:r>
      <w:proofErr w:type="spellStart"/>
      <w:r>
        <w:rPr>
          <w:rFonts w:ascii="David" w:eastAsia="David" w:hAnsi="David" w:cs="David"/>
          <w:sz w:val="24"/>
          <w:szCs w:val="24"/>
          <w:rtl/>
        </w:rPr>
        <w:t>ותושבחות</w:t>
      </w:r>
      <w:proofErr w:type="spellEnd"/>
      <w:r>
        <w:rPr>
          <w:rFonts w:ascii="David" w:eastAsia="David" w:hAnsi="David" w:cs="David"/>
          <w:sz w:val="24"/>
          <w:szCs w:val="24"/>
          <w:rtl/>
        </w:rPr>
        <w:t xml:space="preserve">, לפיכך נאמר: </w:t>
      </w:r>
      <w:r>
        <w:rPr>
          <w:rFonts w:ascii="David" w:eastAsia="David" w:hAnsi="David" w:cs="David"/>
          <w:b/>
          <w:sz w:val="24"/>
          <w:szCs w:val="24"/>
          <w:rtl/>
        </w:rPr>
        <w:t>תנו לה מפרי ידיה ויהללוה בשערים מעשיה</w:t>
      </w:r>
      <w:r>
        <w:rPr>
          <w:rFonts w:ascii="David" w:eastAsia="David" w:hAnsi="David" w:cs="David"/>
          <w:sz w:val="24"/>
          <w:szCs w:val="24"/>
          <w:rtl/>
        </w:rPr>
        <w:t>" (מדרש משלי לא).</w:t>
      </w:r>
    </w:p>
    <w:p w14:paraId="4BFB9399" w14:textId="77777777" w:rsidR="00864337" w:rsidRDefault="00864337" w:rsidP="00C80B20">
      <w:pPr>
        <w:shd w:val="clear" w:color="auto" w:fill="F2F2F2"/>
        <w:spacing w:after="0" w:line="360" w:lineRule="auto"/>
        <w:jc w:val="both"/>
        <w:rPr>
          <w:rFonts w:ascii="David" w:eastAsia="David" w:hAnsi="David" w:cs="David"/>
          <w:sz w:val="24"/>
          <w:szCs w:val="24"/>
        </w:rPr>
      </w:pPr>
    </w:p>
    <w:p w14:paraId="0D5A28BB" w14:textId="77777777" w:rsidR="00864337" w:rsidRDefault="00864337" w:rsidP="00C80B20">
      <w:pPr>
        <w:shd w:val="clear" w:color="auto" w:fill="F2F2F2"/>
        <w:spacing w:after="0" w:line="360" w:lineRule="auto"/>
        <w:jc w:val="both"/>
        <w:rPr>
          <w:rFonts w:ascii="David" w:eastAsia="David" w:hAnsi="David" w:cs="David"/>
          <w:sz w:val="24"/>
          <w:szCs w:val="24"/>
        </w:rPr>
      </w:pPr>
      <w:r>
        <w:rPr>
          <w:rFonts w:ascii="David" w:eastAsia="David" w:hAnsi="David" w:cs="David"/>
          <w:sz w:val="24"/>
          <w:szCs w:val="24"/>
          <w:rtl/>
        </w:rPr>
        <w:t xml:space="preserve">הצעה לשיעור של "אשת חיל" אפשר למצוא ביחידות ההוראה, ביחידה "מגילת רות" שיעור 5 –"מי את אשת החיל". </w:t>
      </w:r>
    </w:p>
    <w:p w14:paraId="56D940BC" w14:textId="77777777" w:rsidR="00864337" w:rsidRDefault="00864337" w:rsidP="00C80B20">
      <w:pPr>
        <w:shd w:val="clear" w:color="auto" w:fill="F2F2F2"/>
        <w:spacing w:after="0" w:line="360" w:lineRule="auto"/>
        <w:jc w:val="both"/>
        <w:rPr>
          <w:rFonts w:ascii="David" w:eastAsia="David" w:hAnsi="David" w:cs="David"/>
          <w:sz w:val="24"/>
          <w:szCs w:val="24"/>
        </w:rPr>
      </w:pPr>
    </w:p>
    <w:p w14:paraId="0000001C" w14:textId="48E1AA9F" w:rsidR="00F20CE9" w:rsidRDefault="00F20CE9" w:rsidP="00C80B20">
      <w:pPr>
        <w:spacing w:after="0" w:line="360" w:lineRule="auto"/>
        <w:jc w:val="both"/>
        <w:rPr>
          <w:rFonts w:ascii="David" w:eastAsia="David" w:hAnsi="David" w:cs="David"/>
          <w:sz w:val="24"/>
          <w:szCs w:val="24"/>
        </w:rPr>
      </w:pPr>
    </w:p>
    <w:sectPr w:rsidR="00F20CE9">
      <w:headerReference w:type="default" r:id="rId9"/>
      <w:footerReference w:type="default" r:id="rId1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E70DB" w14:textId="77777777" w:rsidR="004404E8" w:rsidRDefault="004404E8" w:rsidP="00864337">
      <w:pPr>
        <w:spacing w:after="0" w:line="240" w:lineRule="auto"/>
      </w:pPr>
      <w:r>
        <w:separator/>
      </w:r>
    </w:p>
  </w:endnote>
  <w:endnote w:type="continuationSeparator" w:id="0">
    <w:p w14:paraId="17A01612" w14:textId="77777777" w:rsidR="004404E8" w:rsidRDefault="004404E8" w:rsidP="0086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1E755019-773A-4DF0-9045-BE0C29217418}"/>
  </w:font>
  <w:font w:name="David">
    <w:panose1 w:val="020E0502060401010101"/>
    <w:charset w:val="00"/>
    <w:family w:val="swiss"/>
    <w:pitch w:val="variable"/>
    <w:sig w:usb0="00000803" w:usb1="00000000" w:usb2="00000000" w:usb3="00000000" w:csb0="00000021" w:csb1="00000000"/>
    <w:embedRegular r:id="rId2" w:fontKey="{173C6902-F94A-465F-9BDA-9E1D3DDFC93A}"/>
    <w:embedBold r:id="rId3" w:fontKey="{1C1A498D-623F-4F43-A089-2D48A1F89B6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E9C9847-0129-4F22-9D58-858E278BCCF8}"/>
    <w:embedBold r:id="rId5" w:fontKey="{11330A1D-EE85-486A-903F-3BC6276D7313}"/>
  </w:font>
  <w:font w:name="Georgia">
    <w:panose1 w:val="02040502050405020303"/>
    <w:charset w:val="00"/>
    <w:family w:val="roman"/>
    <w:pitch w:val="variable"/>
    <w:sig w:usb0="00000287" w:usb1="00000000" w:usb2="00000000" w:usb3="00000000" w:csb0="0000009F" w:csb1="00000000"/>
    <w:embedRegular r:id="rId6" w:fontKey="{D7DA4CA5-049E-4D83-B493-778A3942B821}"/>
    <w:embedItalic r:id="rId7" w:fontKey="{1B2D56D2-AF71-4A3B-9160-B19A0B81F1B7}"/>
  </w:font>
  <w:font w:name="Calibri Light">
    <w:panose1 w:val="020F0302020204030204"/>
    <w:charset w:val="00"/>
    <w:family w:val="swiss"/>
    <w:pitch w:val="variable"/>
    <w:sig w:usb0="E4002EFF" w:usb1="C200247B" w:usb2="00000009" w:usb3="00000000" w:csb0="000001FF" w:csb1="00000000"/>
    <w:embedRegular r:id="rId8" w:fontKey="{D966A354-0DDC-44F1-8F6B-DC7560C40AF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36886842"/>
      <w:docPartObj>
        <w:docPartGallery w:val="Page Numbers (Bottom of Page)"/>
        <w:docPartUnique/>
      </w:docPartObj>
    </w:sdtPr>
    <w:sdtEndPr>
      <w:rPr>
        <w:cs/>
      </w:rPr>
    </w:sdtEndPr>
    <w:sdtContent>
      <w:p w14:paraId="1FA88783" w14:textId="4912C36E" w:rsidR="00175CE1" w:rsidRDefault="00175CE1">
        <w:pPr>
          <w:pStyle w:val="a8"/>
          <w:jc w:val="center"/>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97171D" w:rsidRPr="0097171D">
          <w:rPr>
            <w:noProof/>
            <w:rtl/>
            <w:lang w:val="he-IL"/>
          </w:rPr>
          <w:t>7</w:t>
        </w:r>
        <w:r>
          <w:fldChar w:fldCharType="end"/>
        </w:r>
      </w:p>
    </w:sdtContent>
  </w:sdt>
  <w:p w14:paraId="60162329" w14:textId="77777777" w:rsidR="00175CE1" w:rsidRDefault="00175C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1E098" w14:textId="77777777" w:rsidR="004404E8" w:rsidRDefault="004404E8" w:rsidP="00864337">
      <w:pPr>
        <w:spacing w:after="0" w:line="240" w:lineRule="auto"/>
      </w:pPr>
      <w:r>
        <w:separator/>
      </w:r>
    </w:p>
  </w:footnote>
  <w:footnote w:type="continuationSeparator" w:id="0">
    <w:p w14:paraId="2E38CA6E" w14:textId="77777777" w:rsidR="004404E8" w:rsidRDefault="004404E8" w:rsidP="00864337">
      <w:pPr>
        <w:spacing w:after="0" w:line="240" w:lineRule="auto"/>
      </w:pPr>
      <w:r>
        <w:continuationSeparator/>
      </w:r>
    </w:p>
  </w:footnote>
  <w:footnote w:id="1">
    <w:p w14:paraId="341DBEE7" w14:textId="685EF326" w:rsidR="001C5C1F" w:rsidRDefault="001C5C1F" w:rsidP="001C5C1F">
      <w:pPr>
        <w:pStyle w:val="ab"/>
        <w:rPr>
          <w:rtl/>
        </w:rPr>
      </w:pPr>
      <w:r>
        <w:rPr>
          <w:rStyle w:val="ad"/>
        </w:rPr>
        <w:footnoteRef/>
      </w:r>
      <w:r>
        <w:rPr>
          <w:rtl/>
        </w:rPr>
        <w:t xml:space="preserve"> </w:t>
      </w:r>
      <w:r w:rsidRPr="001C5C1F">
        <w:rPr>
          <w:rFonts w:ascii="David" w:eastAsia="David" w:hAnsi="David" w:cs="David"/>
          <w:sz w:val="24"/>
          <w:szCs w:val="24"/>
          <w:rtl/>
        </w:rPr>
        <w:t>מלבי"ם רות פרק ג</w:t>
      </w:r>
      <w:r>
        <w:rPr>
          <w:rFonts w:hint="cs"/>
          <w:rtl/>
        </w:rPr>
        <w:t xml:space="preserve">, י: </w:t>
      </w:r>
      <w:r>
        <w:rPr>
          <w:rFonts w:ascii="David" w:eastAsia="David" w:hAnsi="David" w:cs="David" w:hint="cs"/>
          <w:sz w:val="24"/>
          <w:szCs w:val="24"/>
          <w:rtl/>
        </w:rPr>
        <w:t>"</w:t>
      </w:r>
      <w:r w:rsidRPr="001C5C1F">
        <w:rPr>
          <w:rFonts w:ascii="David" w:eastAsia="David" w:hAnsi="David" w:cs="David"/>
          <w:sz w:val="24"/>
          <w:szCs w:val="24"/>
          <w:rtl/>
        </w:rPr>
        <w:t>החסד האחרון שתרצה לע</w:t>
      </w:r>
      <w:r>
        <w:rPr>
          <w:rFonts w:ascii="David" w:eastAsia="David" w:hAnsi="David" w:cs="David"/>
          <w:sz w:val="24"/>
          <w:szCs w:val="24"/>
          <w:rtl/>
        </w:rPr>
        <w:t>שות עם נפש בעלך ע"י היבום וע</w:t>
      </w:r>
      <w:r>
        <w:rPr>
          <w:rFonts w:ascii="David" w:eastAsia="David" w:hAnsi="David" w:cs="David" w:hint="cs"/>
          <w:sz w:val="24"/>
          <w:szCs w:val="24"/>
          <w:rtl/>
        </w:rPr>
        <w:t xml:space="preserve">ל ידי כך </w:t>
      </w:r>
      <w:r w:rsidRPr="001C5C1F">
        <w:rPr>
          <w:rFonts w:ascii="David" w:eastAsia="David" w:hAnsi="David" w:cs="David"/>
          <w:sz w:val="24"/>
          <w:szCs w:val="24"/>
          <w:rtl/>
        </w:rPr>
        <w:t>בחרת לקחת איש זקן מלכת אחרי הבחורים שאפי</w:t>
      </w:r>
      <w:r>
        <w:rPr>
          <w:rFonts w:ascii="David" w:eastAsia="David" w:hAnsi="David" w:cs="David" w:hint="cs"/>
          <w:sz w:val="24"/>
          <w:szCs w:val="24"/>
          <w:rtl/>
        </w:rPr>
        <w:t>לו</w:t>
      </w:r>
      <w:r w:rsidRPr="001C5C1F">
        <w:rPr>
          <w:rFonts w:ascii="David" w:eastAsia="David" w:hAnsi="David" w:cs="David"/>
          <w:sz w:val="24"/>
          <w:szCs w:val="24"/>
          <w:rtl/>
        </w:rPr>
        <w:t xml:space="preserve"> בחור דל היה טוב יותר מלקחת זקן וכ</w:t>
      </w:r>
      <w:r>
        <w:rPr>
          <w:rFonts w:ascii="David" w:eastAsia="David" w:hAnsi="David" w:cs="David" w:hint="cs"/>
          <w:sz w:val="24"/>
          <w:szCs w:val="24"/>
          <w:rtl/>
        </w:rPr>
        <w:t xml:space="preserve">ל שכן </w:t>
      </w:r>
      <w:r w:rsidRPr="001C5C1F">
        <w:rPr>
          <w:rFonts w:ascii="David" w:eastAsia="David" w:hAnsi="David" w:cs="David"/>
          <w:sz w:val="24"/>
          <w:szCs w:val="24"/>
          <w:rtl/>
        </w:rPr>
        <w:t xml:space="preserve"> שהיית מוצא בחור עשיר שהיה לוקח אותך מפני יפיך</w:t>
      </w:r>
      <w:r>
        <w:rPr>
          <w:rFonts w:ascii="David" w:eastAsia="David" w:hAnsi="David" w:cs="David" w:hint="cs"/>
          <w:sz w:val="24"/>
          <w:szCs w:val="24"/>
          <w:rtl/>
        </w:rPr>
        <w:t>,</w:t>
      </w:r>
      <w:r w:rsidRPr="001C5C1F">
        <w:rPr>
          <w:rFonts w:ascii="David" w:eastAsia="David" w:hAnsi="David" w:cs="David"/>
          <w:sz w:val="24"/>
          <w:szCs w:val="24"/>
          <w:rtl/>
        </w:rPr>
        <w:t xml:space="preserve"> ואת בחרת בזקן כדי להקים שם לבעלך המת זה חסד גדול שאת עושה לבעלך:</w:t>
      </w:r>
    </w:p>
  </w:footnote>
  <w:footnote w:id="2">
    <w:p w14:paraId="0007B9EE" w14:textId="04574BDF" w:rsidR="00C80B20" w:rsidRDefault="00C80B20" w:rsidP="001C5C1F">
      <w:pPr>
        <w:spacing w:after="0" w:line="360" w:lineRule="auto"/>
        <w:rPr>
          <w:rFonts w:ascii="David" w:eastAsia="David" w:hAnsi="David" w:cs="David"/>
          <w:sz w:val="24"/>
          <w:szCs w:val="24"/>
        </w:rPr>
      </w:pPr>
      <w:r>
        <w:rPr>
          <w:vertAlign w:val="superscript"/>
        </w:rPr>
        <w:footnoteRef/>
      </w:r>
      <w:r>
        <w:t xml:space="preserve"> </w:t>
      </w:r>
      <w:r>
        <w:rPr>
          <w:rFonts w:ascii="David" w:eastAsia="David" w:hAnsi="David" w:cs="David"/>
          <w:sz w:val="24"/>
          <w:szCs w:val="24"/>
          <w:rtl/>
        </w:rPr>
        <w:t>להבנת הבחירה האצילית של בועז כדאי להוסיף ולקרוא את המאמר הבא: בועז, המנהיג המאופק", ד"ר יעל ציגלר.</w:t>
      </w:r>
      <w:r w:rsidR="001C5C1F">
        <w:rPr>
          <w:rFonts w:hint="cs"/>
          <w:rtl/>
        </w:rPr>
        <w:t xml:space="preserve"> </w:t>
      </w:r>
      <w:hyperlink r:id="rId1">
        <w:r>
          <w:rPr>
            <w:rFonts w:ascii="David" w:eastAsia="David" w:hAnsi="David" w:cs="David"/>
            <w:color w:val="0563C1"/>
            <w:sz w:val="24"/>
            <w:szCs w:val="24"/>
            <w:u w:val="single"/>
            <w:rtl/>
          </w:rPr>
          <w:t>קישור</w:t>
        </w:r>
      </w:hyperlink>
      <w:hyperlink r:id="rId2">
        <w:r>
          <w:rPr>
            <w:rFonts w:ascii="David" w:eastAsia="David" w:hAnsi="David" w:cs="David"/>
            <w:color w:val="0563C1"/>
            <w:sz w:val="24"/>
            <w:szCs w:val="24"/>
            <w:u w:val="single"/>
            <w:rtl/>
          </w:rPr>
          <w:t xml:space="preserve"> </w:t>
        </w:r>
      </w:hyperlink>
      <w:hyperlink r:id="rId3">
        <w:r>
          <w:rPr>
            <w:rFonts w:ascii="David" w:eastAsia="David" w:hAnsi="David" w:cs="David"/>
            <w:color w:val="0563C1"/>
            <w:sz w:val="24"/>
            <w:szCs w:val="24"/>
            <w:u w:val="single"/>
            <w:rtl/>
          </w:rPr>
          <w:t>למאמר</w:t>
        </w:r>
      </w:hyperlink>
      <w:hyperlink r:id="rId4">
        <w:r>
          <w:rPr>
            <w:rFonts w:ascii="David" w:eastAsia="David" w:hAnsi="David" w:cs="David"/>
            <w:color w:val="0563C1"/>
            <w:sz w:val="24"/>
            <w:szCs w:val="24"/>
            <w:u w:val="single"/>
            <w:rtl/>
          </w:rPr>
          <w:t>.</w:t>
        </w:r>
      </w:hyperlink>
      <w:r>
        <w:rPr>
          <w:rFonts w:ascii="David" w:eastAsia="David" w:hAnsi="David" w:cs="David"/>
          <w:sz w:val="24"/>
          <w:szCs w:val="24"/>
        </w:rPr>
        <w:t xml:space="preserve"> </w:t>
      </w:r>
    </w:p>
    <w:p w14:paraId="4374915D" w14:textId="77777777" w:rsidR="00C80B20" w:rsidRDefault="00C80B20" w:rsidP="00864337">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CD965" w14:textId="184DA498" w:rsidR="00000FB7" w:rsidRDefault="00000FB7" w:rsidP="00000FB7">
    <w:pPr>
      <w:pStyle w:val="a6"/>
      <w:rPr>
        <w:rtl/>
        <w:cs/>
      </w:rPr>
    </w:pPr>
    <w:r>
      <w:rPr>
        <w:rFonts w:hint="cs"/>
        <w:rtl/>
      </w:rPr>
      <w:t>בס"ד -  הוראת מגילת רות</w:t>
    </w:r>
  </w:p>
  <w:p w14:paraId="161CEC11" w14:textId="77777777" w:rsidR="00000FB7" w:rsidRDefault="00000F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20B1"/>
    <w:multiLevelType w:val="multilevel"/>
    <w:tmpl w:val="AF2491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06DDB"/>
    <w:multiLevelType w:val="multilevel"/>
    <w:tmpl w:val="5464E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F2509"/>
    <w:multiLevelType w:val="multilevel"/>
    <w:tmpl w:val="024C5A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151C7"/>
    <w:multiLevelType w:val="multilevel"/>
    <w:tmpl w:val="F5FED9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920CA"/>
    <w:multiLevelType w:val="multilevel"/>
    <w:tmpl w:val="45DA44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460AA6"/>
    <w:multiLevelType w:val="multilevel"/>
    <w:tmpl w:val="4260B9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CD33D3"/>
    <w:multiLevelType w:val="multilevel"/>
    <w:tmpl w:val="E9E0CA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741560"/>
    <w:multiLevelType w:val="multilevel"/>
    <w:tmpl w:val="608C526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44D6"/>
    <w:multiLevelType w:val="multilevel"/>
    <w:tmpl w:val="31B07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215D99"/>
    <w:multiLevelType w:val="multilevel"/>
    <w:tmpl w:val="F9CCCC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44371F"/>
    <w:multiLevelType w:val="multilevel"/>
    <w:tmpl w:val="C92898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804909"/>
    <w:multiLevelType w:val="multilevel"/>
    <w:tmpl w:val="3592AB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052831"/>
    <w:multiLevelType w:val="multilevel"/>
    <w:tmpl w:val="3C90DF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270666"/>
    <w:multiLevelType w:val="multilevel"/>
    <w:tmpl w:val="28C2F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DD22CE"/>
    <w:multiLevelType w:val="multilevel"/>
    <w:tmpl w:val="E74A96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CE27E5"/>
    <w:multiLevelType w:val="multilevel"/>
    <w:tmpl w:val="721E84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3164B0"/>
    <w:multiLevelType w:val="multilevel"/>
    <w:tmpl w:val="1D383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66474E"/>
    <w:multiLevelType w:val="multilevel"/>
    <w:tmpl w:val="7FA66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0F3B2A"/>
    <w:multiLevelType w:val="multilevel"/>
    <w:tmpl w:val="ECF0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B6163D"/>
    <w:multiLevelType w:val="multilevel"/>
    <w:tmpl w:val="C680D47E"/>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807483"/>
    <w:multiLevelType w:val="multilevel"/>
    <w:tmpl w:val="405C6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E73BFE"/>
    <w:multiLevelType w:val="multilevel"/>
    <w:tmpl w:val="785841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D72923"/>
    <w:multiLevelType w:val="multilevel"/>
    <w:tmpl w:val="E13C5F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FA3FCE"/>
    <w:multiLevelType w:val="multilevel"/>
    <w:tmpl w:val="10BEAB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5D06C4"/>
    <w:multiLevelType w:val="multilevel"/>
    <w:tmpl w:val="9E383D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273291"/>
    <w:multiLevelType w:val="multilevel"/>
    <w:tmpl w:val="30C43C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3F13BE"/>
    <w:multiLevelType w:val="multilevel"/>
    <w:tmpl w:val="2B920DA4"/>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7" w15:restartNumberingAfterBreak="0">
    <w:nsid w:val="4ECE07DD"/>
    <w:multiLevelType w:val="multilevel"/>
    <w:tmpl w:val="CBD8C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2A720A"/>
    <w:multiLevelType w:val="multilevel"/>
    <w:tmpl w:val="871E2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E41BB1"/>
    <w:multiLevelType w:val="multilevel"/>
    <w:tmpl w:val="2D4AB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F10291F"/>
    <w:multiLevelType w:val="multilevel"/>
    <w:tmpl w:val="A5DA0D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7B36FF"/>
    <w:multiLevelType w:val="multilevel"/>
    <w:tmpl w:val="4964EE14"/>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DD527A"/>
    <w:multiLevelType w:val="multilevel"/>
    <w:tmpl w:val="A8C87BD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756255"/>
    <w:multiLevelType w:val="multilevel"/>
    <w:tmpl w:val="638A02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C63526"/>
    <w:multiLevelType w:val="multilevel"/>
    <w:tmpl w:val="59EAD5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813FFD"/>
    <w:multiLevelType w:val="multilevel"/>
    <w:tmpl w:val="3E12A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CC69A0"/>
    <w:multiLevelType w:val="multilevel"/>
    <w:tmpl w:val="D9484092"/>
    <w:lvl w:ilvl="0">
      <w:start w:val="1"/>
      <w:numFmt w:val="decimal"/>
      <w:lvlText w:val="%1."/>
      <w:lvlJc w:val="left"/>
      <w:pPr>
        <w:ind w:left="72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6849DA"/>
    <w:multiLevelType w:val="multilevel"/>
    <w:tmpl w:val="0C301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435DB3"/>
    <w:multiLevelType w:val="multilevel"/>
    <w:tmpl w:val="DF0C585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7745EE7"/>
    <w:multiLevelType w:val="multilevel"/>
    <w:tmpl w:val="27DED50C"/>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F22A8E"/>
    <w:multiLevelType w:val="multilevel"/>
    <w:tmpl w:val="A3069F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563975"/>
    <w:multiLevelType w:val="multilevel"/>
    <w:tmpl w:val="EDA0B6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5014605">
    <w:abstractNumId w:val="39"/>
  </w:num>
  <w:num w:numId="2" w16cid:durableId="1406680651">
    <w:abstractNumId w:val="11"/>
  </w:num>
  <w:num w:numId="3" w16cid:durableId="1074623655">
    <w:abstractNumId w:val="37"/>
  </w:num>
  <w:num w:numId="4" w16cid:durableId="2089450793">
    <w:abstractNumId w:val="7"/>
  </w:num>
  <w:num w:numId="5" w16cid:durableId="1852914693">
    <w:abstractNumId w:val="16"/>
  </w:num>
  <w:num w:numId="6" w16cid:durableId="2132624986">
    <w:abstractNumId w:val="17"/>
  </w:num>
  <w:num w:numId="7" w16cid:durableId="1304848427">
    <w:abstractNumId w:val="10"/>
  </w:num>
  <w:num w:numId="8" w16cid:durableId="1331641082">
    <w:abstractNumId w:val="29"/>
  </w:num>
  <w:num w:numId="9" w16cid:durableId="1536229423">
    <w:abstractNumId w:val="21"/>
  </w:num>
  <w:num w:numId="10" w16cid:durableId="1526141231">
    <w:abstractNumId w:val="8"/>
  </w:num>
  <w:num w:numId="11" w16cid:durableId="2083016186">
    <w:abstractNumId w:val="3"/>
  </w:num>
  <w:num w:numId="12" w16cid:durableId="207884272">
    <w:abstractNumId w:val="28"/>
  </w:num>
  <w:num w:numId="13" w16cid:durableId="1262251913">
    <w:abstractNumId w:val="12"/>
  </w:num>
  <w:num w:numId="14" w16cid:durableId="437215365">
    <w:abstractNumId w:val="5"/>
  </w:num>
  <w:num w:numId="15" w16cid:durableId="232132172">
    <w:abstractNumId w:val="22"/>
  </w:num>
  <w:num w:numId="16" w16cid:durableId="1422025408">
    <w:abstractNumId w:val="9"/>
  </w:num>
  <w:num w:numId="17" w16cid:durableId="11736050">
    <w:abstractNumId w:val="19"/>
  </w:num>
  <w:num w:numId="18" w16cid:durableId="905998050">
    <w:abstractNumId w:val="35"/>
  </w:num>
  <w:num w:numId="19" w16cid:durableId="1581060465">
    <w:abstractNumId w:val="36"/>
  </w:num>
  <w:num w:numId="20" w16cid:durableId="488134082">
    <w:abstractNumId w:val="38"/>
  </w:num>
  <w:num w:numId="21" w16cid:durableId="448932940">
    <w:abstractNumId w:val="13"/>
  </w:num>
  <w:num w:numId="22" w16cid:durableId="814564234">
    <w:abstractNumId w:val="14"/>
  </w:num>
  <w:num w:numId="23" w16cid:durableId="472336274">
    <w:abstractNumId w:val="26"/>
  </w:num>
  <w:num w:numId="24" w16cid:durableId="2084177839">
    <w:abstractNumId w:val="34"/>
  </w:num>
  <w:num w:numId="25" w16cid:durableId="1734573157">
    <w:abstractNumId w:val="4"/>
  </w:num>
  <w:num w:numId="26" w16cid:durableId="522863129">
    <w:abstractNumId w:val="41"/>
  </w:num>
  <w:num w:numId="27" w16cid:durableId="41442180">
    <w:abstractNumId w:val="33"/>
  </w:num>
  <w:num w:numId="28" w16cid:durableId="332607002">
    <w:abstractNumId w:val="32"/>
  </w:num>
  <w:num w:numId="29" w16cid:durableId="23068845">
    <w:abstractNumId w:val="25"/>
  </w:num>
  <w:num w:numId="30" w16cid:durableId="600065360">
    <w:abstractNumId w:val="2"/>
  </w:num>
  <w:num w:numId="31" w16cid:durableId="169373477">
    <w:abstractNumId w:val="6"/>
  </w:num>
  <w:num w:numId="32" w16cid:durableId="697240123">
    <w:abstractNumId w:val="20"/>
  </w:num>
  <w:num w:numId="33" w16cid:durableId="1832335166">
    <w:abstractNumId w:val="15"/>
  </w:num>
  <w:num w:numId="34" w16cid:durableId="1936597048">
    <w:abstractNumId w:val="24"/>
  </w:num>
  <w:num w:numId="35" w16cid:durableId="1232808094">
    <w:abstractNumId w:val="18"/>
  </w:num>
  <w:num w:numId="36" w16cid:durableId="1791125617">
    <w:abstractNumId w:val="23"/>
  </w:num>
  <w:num w:numId="37" w16cid:durableId="1474374424">
    <w:abstractNumId w:val="40"/>
  </w:num>
  <w:num w:numId="38" w16cid:durableId="1426417938">
    <w:abstractNumId w:val="31"/>
  </w:num>
  <w:num w:numId="39" w16cid:durableId="834496047">
    <w:abstractNumId w:val="30"/>
  </w:num>
  <w:num w:numId="40" w16cid:durableId="2011448278">
    <w:abstractNumId w:val="27"/>
  </w:num>
  <w:num w:numId="41" w16cid:durableId="1557007980">
    <w:abstractNumId w:val="1"/>
  </w:num>
  <w:num w:numId="42" w16cid:durableId="1791239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CE9"/>
    <w:rsid w:val="00000FB7"/>
    <w:rsid w:val="00002CC2"/>
    <w:rsid w:val="000103AB"/>
    <w:rsid w:val="0002319D"/>
    <w:rsid w:val="00064A29"/>
    <w:rsid w:val="000B3496"/>
    <w:rsid w:val="00175CE1"/>
    <w:rsid w:val="001C5C1F"/>
    <w:rsid w:val="001C6EC7"/>
    <w:rsid w:val="002D24F2"/>
    <w:rsid w:val="002E0228"/>
    <w:rsid w:val="00352FB7"/>
    <w:rsid w:val="003B7E5E"/>
    <w:rsid w:val="003E4CE8"/>
    <w:rsid w:val="004404E8"/>
    <w:rsid w:val="00482B2A"/>
    <w:rsid w:val="005A5BD5"/>
    <w:rsid w:val="0062635D"/>
    <w:rsid w:val="00644215"/>
    <w:rsid w:val="00647A93"/>
    <w:rsid w:val="00675DFA"/>
    <w:rsid w:val="00713CF6"/>
    <w:rsid w:val="0074164E"/>
    <w:rsid w:val="007F0FB1"/>
    <w:rsid w:val="00864337"/>
    <w:rsid w:val="0097171D"/>
    <w:rsid w:val="009B3FAB"/>
    <w:rsid w:val="00AC6144"/>
    <w:rsid w:val="00C164B1"/>
    <w:rsid w:val="00C42DD0"/>
    <w:rsid w:val="00C4799B"/>
    <w:rsid w:val="00C50DC6"/>
    <w:rsid w:val="00C77302"/>
    <w:rsid w:val="00C80B20"/>
    <w:rsid w:val="00CE6E57"/>
    <w:rsid w:val="00D023FA"/>
    <w:rsid w:val="00F20C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FCA70"/>
  <w15:docId w15:val="{7F3DDEA7-63C7-45C2-B8C9-595183AA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basedOn w:val="a"/>
    <w:uiPriority w:val="34"/>
    <w:qFormat/>
    <w:rsid w:val="00D134C2"/>
    <w:pPr>
      <w:ind w:left="720"/>
      <w:contextualSpacing/>
    </w:p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6">
    <w:name w:val="header"/>
    <w:basedOn w:val="a"/>
    <w:link w:val="a7"/>
    <w:uiPriority w:val="99"/>
    <w:unhideWhenUsed/>
    <w:rsid w:val="00175CE1"/>
    <w:pPr>
      <w:tabs>
        <w:tab w:val="center" w:pos="4153"/>
        <w:tab w:val="right" w:pos="8306"/>
      </w:tabs>
      <w:spacing w:after="0" w:line="240" w:lineRule="auto"/>
    </w:pPr>
  </w:style>
  <w:style w:type="character" w:customStyle="1" w:styleId="a7">
    <w:name w:val="כותרת עליונה תו"/>
    <w:basedOn w:val="a0"/>
    <w:link w:val="a6"/>
    <w:uiPriority w:val="99"/>
    <w:rsid w:val="00175CE1"/>
  </w:style>
  <w:style w:type="paragraph" w:styleId="a8">
    <w:name w:val="footer"/>
    <w:basedOn w:val="a"/>
    <w:link w:val="a9"/>
    <w:uiPriority w:val="99"/>
    <w:unhideWhenUsed/>
    <w:rsid w:val="00175CE1"/>
    <w:pPr>
      <w:tabs>
        <w:tab w:val="center" w:pos="4153"/>
        <w:tab w:val="right" w:pos="8306"/>
      </w:tabs>
      <w:spacing w:after="0" w:line="240" w:lineRule="auto"/>
    </w:pPr>
  </w:style>
  <w:style w:type="character" w:customStyle="1" w:styleId="a9">
    <w:name w:val="כותרת תחתונה תו"/>
    <w:basedOn w:val="a0"/>
    <w:link w:val="a8"/>
    <w:uiPriority w:val="99"/>
    <w:rsid w:val="00175CE1"/>
  </w:style>
  <w:style w:type="table" w:styleId="aa">
    <w:name w:val="Table Grid"/>
    <w:basedOn w:val="a1"/>
    <w:uiPriority w:val="39"/>
    <w:rsid w:val="00CE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1C5C1F"/>
    <w:pPr>
      <w:spacing w:after="0" w:line="240" w:lineRule="auto"/>
    </w:pPr>
    <w:rPr>
      <w:sz w:val="20"/>
      <w:szCs w:val="20"/>
    </w:rPr>
  </w:style>
  <w:style w:type="character" w:customStyle="1" w:styleId="ac">
    <w:name w:val="טקסט הערת שוליים תו"/>
    <w:basedOn w:val="a0"/>
    <w:link w:val="ab"/>
    <w:uiPriority w:val="99"/>
    <w:semiHidden/>
    <w:rsid w:val="001C5C1F"/>
    <w:rPr>
      <w:sz w:val="20"/>
      <w:szCs w:val="20"/>
    </w:rPr>
  </w:style>
  <w:style w:type="character" w:styleId="ad">
    <w:name w:val="footnote reference"/>
    <w:basedOn w:val="a0"/>
    <w:uiPriority w:val="99"/>
    <w:semiHidden/>
    <w:unhideWhenUsed/>
    <w:rsid w:val="001C5C1F"/>
    <w:rPr>
      <w:vertAlign w:val="superscript"/>
    </w:rPr>
  </w:style>
  <w:style w:type="paragraph" w:styleId="ae">
    <w:name w:val="Revision"/>
    <w:hidden/>
    <w:uiPriority w:val="99"/>
    <w:semiHidden/>
    <w:rsid w:val="002E0228"/>
    <w:pPr>
      <w:bidi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tzion.org.il/he/tanakh/ketuvim/megillat-ruth/boaz%E2%80%99s-extraordinary-restraint" TargetMode="External"/><Relationship Id="rId2" Type="http://schemas.openxmlformats.org/officeDocument/2006/relationships/hyperlink" Target="https://www.etzion.org.il/he/tanakh/ketuvim/megillat-ruth/boaz%E2%80%99s-extraordinary-restraint" TargetMode="External"/><Relationship Id="rId1" Type="http://schemas.openxmlformats.org/officeDocument/2006/relationships/hyperlink" Target="https://www.etzion.org.il/he/tanakh/ketuvim/megillat-ruth/boaz%E2%80%99s-extraordinary-restraint" TargetMode="External"/><Relationship Id="rId4" Type="http://schemas.openxmlformats.org/officeDocument/2006/relationships/hyperlink" Target="https://www.etzion.org.il/he/tanakh/ketuvim/megillat-ruth/boaz%E2%80%99s-extraordinary-restrain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6uBXIw6Rd5dX3E4ioU3h6h0Ew==">CgMxLjAyCGguZ2pkZ3hzOAByITE1b0FfN1dobU44bkdzT0oyNWxIZ2JYZVYwek9pc1IxQg==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F4939E-E819-47AF-ACC0-B652B6703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1638</Words>
  <Characters>8191</Characters>
  <Application>Microsoft Office Word</Application>
  <DocSecurity>0</DocSecurity>
  <Lines>68</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oshrit rf</cp:lastModifiedBy>
  <cp:revision>2</cp:revision>
  <cp:lastPrinted>2024-09-01T11:56:00Z</cp:lastPrinted>
  <dcterms:created xsi:type="dcterms:W3CDTF">2024-09-02T05:43:00Z</dcterms:created>
  <dcterms:modified xsi:type="dcterms:W3CDTF">2024-09-02T05:43:00Z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298d224fe8b92febdf86efb840f8c601bfdea5468d0404705e8df468529483fc</vt:lpwstr>
  </property>
</Properties>
</file>