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jc w:val="left"/>
        <w:rPr/>
      </w:pPr>
      <w:bookmarkStart w:colFirst="0" w:colLast="0" w:name="_ljrh8e7nnys0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הערכה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חלופית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משולבת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בינה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מלאכותית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-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ביוטכנולוגיה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-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תשפ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"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והטכנולוגי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טכנולוגיים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והנדסיים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רפואה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ומתפתח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המואץ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והטכנולוגיה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וההערכה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GenAI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נגישה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בלחיצת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כפתור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פדגוגית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מחודשת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הביוטכנולוגיה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האם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כיצד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Competency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הטכנולוגיה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סביבתיות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ביוטכנולוגיים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וההערכה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הצעה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פדגוגית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תומכת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יצירתיות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כשותפה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כתחליף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center"/>
        <w:rPr/>
      </w:pPr>
      <w:r w:rsidDel="00000000" w:rsidR="00000000" w:rsidRPr="00000000">
        <w:rPr>
          <w:rtl w:val="1"/>
        </w:rPr>
        <w:t xml:space="preserve">מאחלת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וחדשנית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ביוטכנולוגי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/>
      </w:pPr>
      <w:r w:rsidDel="00000000" w:rsidR="00000000" w:rsidRPr="00000000">
        <w:rPr>
          <w:rtl w:val="1"/>
        </w:rPr>
        <w:t xml:space="preserve">תמר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