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AC08" w14:textId="268EF639" w:rsidR="00BC5080" w:rsidRPr="0049013C" w:rsidRDefault="005D6BFC" w:rsidP="005D6BFC">
      <w:pPr>
        <w:jc w:val="center"/>
        <w:rPr>
          <w:rFonts w:asciiTheme="majorHAnsi" w:hAnsiTheme="majorHAnsi" w:cstheme="majorHAnsi"/>
          <w:b/>
          <w:bCs/>
          <w:sz w:val="32"/>
          <w:szCs w:val="32"/>
          <w:rtl/>
          <w:lang w:bidi="ar-JO"/>
        </w:rPr>
      </w:pPr>
      <w:r w:rsidRPr="0049013C">
        <w:rPr>
          <w:rFonts w:asciiTheme="majorHAnsi" w:hAnsiTheme="majorHAnsi" w:cstheme="majorHAnsi"/>
          <w:b/>
          <w:bCs/>
          <w:sz w:val="32"/>
          <w:szCs w:val="32"/>
          <w:rtl/>
          <w:lang w:bidi="ar-JO"/>
        </w:rPr>
        <w:t>موادّ تعليميّة لتعزيز الحصانة والشعور بالأمان في موضوع اللغة والأدب العربيّ</w:t>
      </w:r>
    </w:p>
    <w:p w14:paraId="5B811DE3" w14:textId="77777777" w:rsidR="00DD7617" w:rsidRPr="0049013C" w:rsidRDefault="00DD7617" w:rsidP="005D6BFC">
      <w:pPr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</w:p>
    <w:p w14:paraId="7A9F2666" w14:textId="17243883" w:rsidR="005D6BFC" w:rsidRPr="0049013C" w:rsidRDefault="00D04CD6" w:rsidP="001624BE">
      <w:pPr>
        <w:pStyle w:val="ab"/>
        <w:numPr>
          <w:ilvl w:val="0"/>
          <w:numId w:val="5"/>
        </w:numPr>
        <w:spacing w:after="240" w:line="360" w:lineRule="auto"/>
        <w:ind w:left="454" w:hanging="454"/>
        <w:contextualSpacing w:val="0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hyperlink r:id="rId7" w:history="1">
        <w:r w:rsidR="00DD7617" w:rsidRPr="00D04CD6">
          <w:rPr>
            <w:rStyle w:val="Hyperlink"/>
            <w:rFonts w:asciiTheme="majorHAnsi" w:hAnsiTheme="majorHAnsi" w:cstheme="majorHAnsi"/>
            <w:b/>
            <w:bCs/>
            <w:sz w:val="28"/>
            <w:szCs w:val="28"/>
            <w:rtl/>
            <w:lang w:bidi="ar-JO"/>
          </w:rPr>
          <w:t>وحدة تعليميّة حول نصّ "صلاة"، لجبران خليل جبران – المرحلة الإعداديّة</w:t>
        </w:r>
      </w:hyperlink>
    </w:p>
    <w:p w14:paraId="13F32517" w14:textId="4C08CC4B" w:rsidR="00DD7617" w:rsidRPr="0049013C" w:rsidRDefault="00D04CD6" w:rsidP="001624BE">
      <w:pPr>
        <w:pStyle w:val="ab"/>
        <w:numPr>
          <w:ilvl w:val="0"/>
          <w:numId w:val="5"/>
        </w:numPr>
        <w:spacing w:after="240" w:line="360" w:lineRule="auto"/>
        <w:ind w:left="454" w:hanging="454"/>
        <w:contextualSpacing w:val="0"/>
        <w:rPr>
          <w:rFonts w:asciiTheme="majorHAnsi" w:hAnsiTheme="majorHAnsi" w:cstheme="majorHAnsi"/>
          <w:b/>
          <w:bCs/>
          <w:sz w:val="28"/>
          <w:szCs w:val="28"/>
          <w:rtl/>
          <w:lang w:bidi="ar-JO"/>
        </w:rPr>
      </w:pPr>
      <w:hyperlink r:id="rId8" w:history="1">
        <w:r w:rsidR="00DD7617" w:rsidRPr="00D04CD6">
          <w:rPr>
            <w:rStyle w:val="Hyperlink"/>
            <w:rFonts w:asciiTheme="majorHAnsi" w:hAnsiTheme="majorHAnsi" w:cstheme="majorHAnsi"/>
            <w:b/>
            <w:bCs/>
            <w:sz w:val="28"/>
            <w:szCs w:val="28"/>
            <w:rtl/>
            <w:lang w:bidi="ar-JO"/>
          </w:rPr>
          <w:t>وحدة تعليميّة حول قصيدة المحبّة، لجبران خليل جبران – المرحلة الثانويّة</w:t>
        </w:r>
      </w:hyperlink>
    </w:p>
    <w:p w14:paraId="41D4CFDC" w14:textId="194AC8BA" w:rsidR="00DD7617" w:rsidRPr="00D04CD6" w:rsidRDefault="009A5C95" w:rsidP="001624BE">
      <w:pPr>
        <w:pStyle w:val="ab"/>
        <w:numPr>
          <w:ilvl w:val="0"/>
          <w:numId w:val="5"/>
        </w:numPr>
        <w:spacing w:after="240" w:line="360" w:lineRule="auto"/>
        <w:ind w:left="454" w:hanging="454"/>
        <w:contextualSpacing w:val="0"/>
        <w:rPr>
          <w:rFonts w:asciiTheme="majorHAnsi" w:hAnsiTheme="majorHAnsi" w:cstheme="majorHAnsi"/>
          <w:b/>
          <w:bCs/>
          <w:color w:val="0000FF"/>
          <w:sz w:val="28"/>
          <w:szCs w:val="28"/>
          <w:lang w:bidi="ar-JO"/>
        </w:rPr>
      </w:pPr>
      <w:hyperlink r:id="rId9" w:history="1">
        <w:r w:rsidR="00DD7617" w:rsidRPr="00D04CD6">
          <w:rPr>
            <w:rStyle w:val="Hyperlink"/>
            <w:rFonts w:asciiTheme="majorHAnsi" w:hAnsiTheme="majorHAnsi" w:cstheme="majorHAnsi"/>
            <w:b/>
            <w:bCs/>
            <w:color w:val="0000FF"/>
            <w:sz w:val="28"/>
            <w:szCs w:val="28"/>
            <w:rtl/>
            <w:lang w:bidi="ar-JO"/>
          </w:rPr>
          <w:t>وحدة تعليميّة موضوع التراث والحصانة للصفوف التاسعة والعاشرة</w:t>
        </w:r>
      </w:hyperlink>
    </w:p>
    <w:p w14:paraId="369D5E2C" w14:textId="5D45C82D" w:rsidR="001624BE" w:rsidRDefault="00413D8F" w:rsidP="001624BE">
      <w:pPr>
        <w:pStyle w:val="ab"/>
        <w:numPr>
          <w:ilvl w:val="0"/>
          <w:numId w:val="5"/>
        </w:numPr>
        <w:spacing w:after="240" w:line="360" w:lineRule="auto"/>
        <w:ind w:left="454" w:hanging="454"/>
        <w:contextualSpacing w:val="0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hyperlink r:id="rId10" w:history="1">
        <w:r w:rsidRPr="00413D8F">
          <w:rPr>
            <w:rStyle w:val="Hyperlink"/>
            <w:rFonts w:ascii="Sakkal Majalla" w:hAnsi="Sakkal Majalla" w:cs="Sakkal Majalla" w:hint="cs"/>
            <w:b/>
            <w:bCs/>
            <w:sz w:val="32"/>
            <w:szCs w:val="32"/>
            <w:rtl/>
            <w:lang w:bidi="ar-JO"/>
          </w:rPr>
          <w:t>وحدة تدريس محوسبة بعنوان "احترام الآخر" للصفوف السابعة والثامنة</w:t>
        </w:r>
      </w:hyperlink>
    </w:p>
    <w:p w14:paraId="118D541F" w14:textId="66285DB6" w:rsidR="00413D8F" w:rsidRDefault="00AB146A" w:rsidP="001624BE">
      <w:pPr>
        <w:pStyle w:val="ab"/>
        <w:numPr>
          <w:ilvl w:val="0"/>
          <w:numId w:val="5"/>
        </w:numPr>
        <w:spacing w:after="240" w:line="360" w:lineRule="auto"/>
        <w:ind w:left="454" w:hanging="454"/>
        <w:contextualSpacing w:val="0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hyperlink r:id="rId11" w:history="1">
        <w:r w:rsidR="00413D8F" w:rsidRPr="00AB146A">
          <w:rPr>
            <w:rStyle w:val="Hyperlink"/>
            <w:rFonts w:ascii="Sakkal Majalla" w:hAnsi="Sakkal Majalla" w:cs="Sakkal Majalla" w:hint="cs"/>
            <w:b/>
            <w:bCs/>
            <w:sz w:val="32"/>
            <w:szCs w:val="32"/>
            <w:rtl/>
            <w:lang w:bidi="ar-JO"/>
          </w:rPr>
          <w:t>وحدة تدريس محوسبة بعنوان "الأسرة علاقات متبادلة بين أقطابها" للصفوف السابعة والثامنة</w:t>
        </w:r>
      </w:hyperlink>
    </w:p>
    <w:p w14:paraId="359FF88B" w14:textId="1DAE887F" w:rsidR="00AB146A" w:rsidRDefault="00AB146A" w:rsidP="001624BE">
      <w:pPr>
        <w:pStyle w:val="ab"/>
        <w:numPr>
          <w:ilvl w:val="0"/>
          <w:numId w:val="5"/>
        </w:numPr>
        <w:spacing w:after="240" w:line="360" w:lineRule="auto"/>
        <w:ind w:left="454" w:hanging="454"/>
        <w:contextualSpacing w:val="0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hyperlink r:id="rId12" w:history="1">
        <w:r w:rsidRPr="00AB146A">
          <w:rPr>
            <w:rStyle w:val="Hyperlink"/>
            <w:rFonts w:ascii="Sakkal Majalla" w:hAnsi="Sakkal Majalla" w:cs="Sakkal Majalla" w:hint="cs"/>
            <w:b/>
            <w:bCs/>
            <w:sz w:val="32"/>
            <w:szCs w:val="32"/>
            <w:rtl/>
            <w:lang w:bidi="ar-JO"/>
          </w:rPr>
          <w:t>وحدة تدريس محوسبة بعنوان "العطاء" طبيعة الحياة العطاء" للصفوف السابعة والثامنة</w:t>
        </w:r>
      </w:hyperlink>
    </w:p>
    <w:p w14:paraId="4BB73811" w14:textId="4F3E2D60" w:rsidR="00AB146A" w:rsidRPr="00DD7617" w:rsidRDefault="002A71E9" w:rsidP="001624BE">
      <w:pPr>
        <w:pStyle w:val="ab"/>
        <w:numPr>
          <w:ilvl w:val="0"/>
          <w:numId w:val="5"/>
        </w:numPr>
        <w:spacing w:after="240" w:line="360" w:lineRule="auto"/>
        <w:ind w:left="454" w:hanging="454"/>
        <w:contextualSpacing w:val="0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hyperlink r:id="rId13" w:history="1">
        <w:r w:rsidRPr="002A71E9">
          <w:rPr>
            <w:rStyle w:val="Hyperlink"/>
            <w:rFonts w:ascii="Sakkal Majalla" w:hAnsi="Sakkal Majalla" w:cs="Sakkal Majalla" w:hint="cs"/>
            <w:b/>
            <w:bCs/>
            <w:sz w:val="32"/>
            <w:szCs w:val="32"/>
            <w:rtl/>
            <w:lang w:bidi="ar-JO"/>
          </w:rPr>
          <w:t>وحدة تدريس محوسبة بعنوان "معاملتي مع الآخر" للصفوف الثامنة والتاسعة</w:t>
        </w:r>
      </w:hyperlink>
    </w:p>
    <w:sectPr w:rsidR="00AB146A" w:rsidRPr="00DD7617" w:rsidSect="001624BE">
      <w:headerReference w:type="default" r:id="rId14"/>
      <w:footerReference w:type="default" r:id="rId15"/>
      <w:pgSz w:w="11906" w:h="16838" w:code="9"/>
      <w:pgMar w:top="1701" w:right="1418" w:bottom="1021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3ABB" w14:textId="77777777" w:rsidR="00AA25C9" w:rsidRDefault="00AA25C9" w:rsidP="00303351">
      <w:pPr>
        <w:spacing w:after="0" w:line="240" w:lineRule="auto"/>
      </w:pPr>
      <w:r>
        <w:separator/>
      </w:r>
    </w:p>
  </w:endnote>
  <w:endnote w:type="continuationSeparator" w:id="0">
    <w:p w14:paraId="6E527650" w14:textId="77777777" w:rsidR="00AA25C9" w:rsidRDefault="00AA25C9" w:rsidP="0030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95489863"/>
      <w:docPartObj>
        <w:docPartGallery w:val="Page Numbers (Bottom of Page)"/>
        <w:docPartUnique/>
      </w:docPartObj>
    </w:sdtPr>
    <w:sdtEndPr/>
    <w:sdtContent>
      <w:p w14:paraId="61132BD3" w14:textId="2618A232" w:rsidR="00303351" w:rsidRDefault="00303351" w:rsidP="003033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37C5" w14:textId="77777777" w:rsidR="00AA25C9" w:rsidRDefault="00AA25C9" w:rsidP="00303351">
      <w:pPr>
        <w:spacing w:after="0" w:line="240" w:lineRule="auto"/>
      </w:pPr>
      <w:r>
        <w:separator/>
      </w:r>
    </w:p>
  </w:footnote>
  <w:footnote w:type="continuationSeparator" w:id="0">
    <w:p w14:paraId="412FF0FE" w14:textId="77777777" w:rsidR="00AA25C9" w:rsidRDefault="00AA25C9" w:rsidP="0030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4394"/>
      <w:gridCol w:w="2551"/>
    </w:tblGrid>
    <w:tr w:rsidR="009B1A3E" w:rsidRPr="009B1A3E" w14:paraId="6E204F01" w14:textId="77777777" w:rsidTr="009B1A3E">
      <w:tc>
        <w:tcPr>
          <w:tcW w:w="2405" w:type="dxa"/>
        </w:tcPr>
        <w:p w14:paraId="17FC0966" w14:textId="77777777" w:rsidR="009B1A3E" w:rsidRPr="009B1A3E" w:rsidRDefault="009B1A3E" w:rsidP="009B1A3E">
          <w:pPr>
            <w:contextualSpacing/>
            <w:jc w:val="center"/>
            <w:rPr>
              <w:rFonts w:ascii="Sakkal Majalla" w:hAnsi="Sakkal Majalla" w:cs="Sakkal Majalla"/>
              <w:sz w:val="28"/>
              <w:szCs w:val="28"/>
              <w:lang w:bidi="ar-JO"/>
            </w:rPr>
          </w:pPr>
          <w:r w:rsidRPr="009B1A3E">
            <w:rPr>
              <w:rFonts w:ascii="Sakkal Majalla" w:hAnsi="Sakkal Majalla" w:cs="Sakkal Majalla"/>
              <w:noProof/>
              <w:sz w:val="28"/>
              <w:szCs w:val="28"/>
              <w:lang w:bidi="ar-JO"/>
            </w:rPr>
            <w:drawing>
              <wp:inline distT="0" distB="0" distL="0" distR="0" wp14:anchorId="519E1029" wp14:editId="37DECE6F">
                <wp:extent cx="484036" cy="432000"/>
                <wp:effectExtent l="0" t="0" r="0" b="6350"/>
                <wp:docPr id="1356405182" name="תמונה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036" cy="43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3B01505E" w14:textId="77777777" w:rsidR="009B1A3E" w:rsidRPr="009B1A3E" w:rsidRDefault="009B1A3E" w:rsidP="009B1A3E">
          <w:pPr>
            <w:contextualSpacing/>
            <w:jc w:val="right"/>
            <w:rPr>
              <w:rFonts w:ascii="Sakkal Majalla" w:hAnsi="Sakkal Majalla" w:cs="Sakkal Majalla"/>
              <w:sz w:val="28"/>
              <w:szCs w:val="28"/>
              <w:lang w:bidi="ar-JO"/>
            </w:rPr>
          </w:pPr>
        </w:p>
      </w:tc>
      <w:tc>
        <w:tcPr>
          <w:tcW w:w="2551" w:type="dxa"/>
        </w:tcPr>
        <w:p w14:paraId="3C74F679" w14:textId="77777777" w:rsidR="009B1A3E" w:rsidRPr="009B1A3E" w:rsidRDefault="009B1A3E" w:rsidP="009B1A3E">
          <w:pPr>
            <w:contextualSpacing/>
            <w:jc w:val="center"/>
            <w:rPr>
              <w:rFonts w:ascii="Sakkal Majalla" w:hAnsi="Sakkal Majalla" w:cs="Sakkal Majalla"/>
              <w:sz w:val="28"/>
              <w:szCs w:val="28"/>
              <w:lang w:bidi="ar-JO"/>
            </w:rPr>
          </w:pPr>
          <w:r w:rsidRPr="009B1A3E">
            <w:rPr>
              <w:rFonts w:ascii="Sakkal Majalla" w:hAnsi="Sakkal Majalla" w:cs="Sakkal Majalla"/>
              <w:noProof/>
              <w:sz w:val="28"/>
              <w:szCs w:val="28"/>
              <w:lang w:bidi="ar-JO"/>
            </w:rPr>
            <w:drawing>
              <wp:inline distT="0" distB="0" distL="0" distR="0" wp14:anchorId="79A2547C" wp14:editId="639002EB">
                <wp:extent cx="347345" cy="433070"/>
                <wp:effectExtent l="0" t="0" r="0" b="5080"/>
                <wp:docPr id="591691075" name="תמונה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45" cy="433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B1A3E" w:rsidRPr="009B1A3E" w14:paraId="6E7260E3" w14:textId="77777777" w:rsidTr="009B1A3E">
      <w:tc>
        <w:tcPr>
          <w:tcW w:w="2405" w:type="dxa"/>
        </w:tcPr>
        <w:p w14:paraId="6883CB67" w14:textId="77777777" w:rsidR="009B1A3E" w:rsidRPr="009B1A3E" w:rsidRDefault="009B1A3E" w:rsidP="009B1A3E">
          <w:pPr>
            <w:contextualSpacing/>
            <w:jc w:val="center"/>
            <w:rPr>
              <w:rFonts w:ascii="Sakkal Majalla" w:hAnsi="Sakkal Majalla" w:cs="Sakkal Majalla"/>
              <w:sz w:val="28"/>
              <w:szCs w:val="28"/>
              <w:lang w:bidi="ar-JO"/>
            </w:rPr>
          </w:pPr>
          <w:r w:rsidRPr="009B1A3E">
            <w:rPr>
              <w:rFonts w:ascii="Sakkal Majalla" w:hAnsi="Sakkal Majalla" w:cs="Sakkal Majalla"/>
              <w:b/>
              <w:bCs/>
              <w:color w:val="000000"/>
              <w:kern w:val="24"/>
              <w:sz w:val="28"/>
              <w:szCs w:val="28"/>
              <w:rtl/>
              <w:lang w:bidi="ar-JO"/>
            </w:rPr>
            <w:t>السكرتاريا التربويّة</w:t>
          </w:r>
        </w:p>
      </w:tc>
      <w:tc>
        <w:tcPr>
          <w:tcW w:w="4394" w:type="dxa"/>
        </w:tcPr>
        <w:p w14:paraId="231F19F1" w14:textId="1595970E" w:rsidR="009B1A3E" w:rsidRPr="009B1A3E" w:rsidRDefault="009B1A3E" w:rsidP="009B1A3E">
          <w:pPr>
            <w:contextualSpacing/>
            <w:jc w:val="center"/>
            <w:rPr>
              <w:rFonts w:ascii="Sakkal Majalla" w:hAnsi="Sakkal Majalla" w:cs="Sakkal Majalla"/>
              <w:sz w:val="28"/>
              <w:szCs w:val="28"/>
              <w:lang w:bidi="ar-JO"/>
            </w:rPr>
          </w:pPr>
        </w:p>
      </w:tc>
      <w:tc>
        <w:tcPr>
          <w:tcW w:w="2551" w:type="dxa"/>
        </w:tcPr>
        <w:p w14:paraId="7B32FF20" w14:textId="77777777" w:rsidR="009B1A3E" w:rsidRPr="009B1A3E" w:rsidRDefault="009B1A3E" w:rsidP="009B1A3E">
          <w:pPr>
            <w:bidi/>
            <w:spacing w:line="280" w:lineRule="exact"/>
            <w:jc w:val="center"/>
            <w:rPr>
              <w:rFonts w:ascii="Sakkal Majalla" w:hAnsi="Sakkal Majalla" w:cs="Sakkal Majalla"/>
              <w:b/>
              <w:bCs/>
              <w:color w:val="000000"/>
              <w:kern w:val="24"/>
              <w:sz w:val="28"/>
              <w:szCs w:val="28"/>
              <w:lang w:bidi="ar-JO"/>
            </w:rPr>
          </w:pPr>
          <w:r w:rsidRPr="009B1A3E">
            <w:rPr>
              <w:rFonts w:ascii="Sakkal Majalla" w:hAnsi="Sakkal Majalla" w:cs="Sakkal Majalla"/>
              <w:b/>
              <w:bCs/>
              <w:color w:val="000000"/>
              <w:kern w:val="24"/>
              <w:sz w:val="28"/>
              <w:szCs w:val="28"/>
              <w:rtl/>
              <w:lang w:bidi="ar-JO"/>
            </w:rPr>
            <w:t>وزارة التربية والتعليم</w:t>
          </w:r>
        </w:p>
      </w:tc>
    </w:tr>
    <w:tr w:rsidR="009B1A3E" w:rsidRPr="009B1A3E" w14:paraId="1B8E553D" w14:textId="77777777" w:rsidTr="009B1A3E">
      <w:tc>
        <w:tcPr>
          <w:tcW w:w="2405" w:type="dxa"/>
        </w:tcPr>
        <w:p w14:paraId="34FBE4D1" w14:textId="77777777" w:rsidR="009B1A3E" w:rsidRPr="009B1A3E" w:rsidRDefault="009B1A3E" w:rsidP="009B1A3E">
          <w:pPr>
            <w:bidi/>
            <w:spacing w:line="280" w:lineRule="exact"/>
            <w:jc w:val="center"/>
            <w:textAlignment w:val="baseline"/>
            <w:rPr>
              <w:rFonts w:ascii="Sakkal Majalla" w:hAnsi="Sakkal Majalla" w:cs="Sakkal Majalla"/>
              <w:b/>
              <w:bCs/>
              <w:color w:val="000000"/>
              <w:kern w:val="24"/>
              <w:sz w:val="28"/>
              <w:szCs w:val="28"/>
              <w:lang w:bidi="ar-JO"/>
            </w:rPr>
          </w:pPr>
          <w:r w:rsidRPr="009B1A3E">
            <w:rPr>
              <w:rFonts w:ascii="Sakkal Majalla" w:hAnsi="Sakkal Majalla" w:cs="Sakkal Majalla"/>
              <w:b/>
              <w:bCs/>
              <w:color w:val="000000"/>
              <w:kern w:val="24"/>
              <w:sz w:val="28"/>
              <w:szCs w:val="28"/>
              <w:rtl/>
              <w:lang w:bidi="ar-JO"/>
            </w:rPr>
            <w:t>قسم أ للّغات</w:t>
          </w:r>
        </w:p>
      </w:tc>
      <w:tc>
        <w:tcPr>
          <w:tcW w:w="4394" w:type="dxa"/>
        </w:tcPr>
        <w:p w14:paraId="3E86059C" w14:textId="45220D37" w:rsidR="009B1A3E" w:rsidRPr="009B1A3E" w:rsidRDefault="00187B54" w:rsidP="009B1A3E">
          <w:pPr>
            <w:contextualSpacing/>
            <w:jc w:val="center"/>
            <w:rPr>
              <w:rFonts w:ascii="Sakkal Majalla" w:hAnsi="Sakkal Majalla" w:cs="Sakkal Majalla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DD62CF" wp14:editId="726680AF">
                    <wp:simplePos x="0" y="0"/>
                    <wp:positionH relativeFrom="margin">
                      <wp:posOffset>-1014095</wp:posOffset>
                    </wp:positionH>
                    <wp:positionV relativeFrom="paragraph">
                      <wp:posOffset>212090</wp:posOffset>
                    </wp:positionV>
                    <wp:extent cx="4305300" cy="345440"/>
                    <wp:effectExtent l="0" t="0" r="0" b="0"/>
                    <wp:wrapNone/>
                    <wp:docPr id="1184947554" name="תיבת טקסט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5300" cy="3454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5E7AE2" w14:textId="77777777" w:rsidR="00187B54" w:rsidRPr="00054EEA" w:rsidRDefault="00187B54" w:rsidP="00187B54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33CC"/>
                                    <w:sz w:val="28"/>
                                    <w:szCs w:val="28"/>
                                    <w:lang w:bidi="ar-SA"/>
                                  </w:rPr>
                                </w:pPr>
                                <w:r w:rsidRPr="00054EEA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0033CC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التفتيش على موضوع اللغة والأدب العربيّ في المرحلة فوق الابتدائيّة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DD62CF"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1" o:spid="_x0000_s1026" type="#_x0000_t202" style="position:absolute;left:0;text-align:left;margin-left:-79.85pt;margin-top:16.7pt;width:339pt;height:27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" fillcolor="white [3201]" stroked="f" strokeweight=".5pt">
                    <v:textbox>
                      <w:txbxContent>
                        <w:p w14:paraId="505E7AE2" w14:textId="77777777" w:rsidR="00187B54" w:rsidRPr="00054EEA" w:rsidRDefault="00187B54" w:rsidP="00187B54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33CC"/>
                              <w:sz w:val="28"/>
                              <w:szCs w:val="28"/>
                              <w:lang w:bidi="ar-SA"/>
                            </w:rPr>
                          </w:pPr>
                          <w:r w:rsidRPr="00054EEA">
                            <w:rPr>
                              <w:rFonts w:ascii="Sakkal Majalla" w:hAnsi="Sakkal Majalla" w:cs="Sakkal Majalla"/>
                              <w:b/>
                              <w:bCs/>
                              <w:color w:val="0033CC"/>
                              <w:sz w:val="28"/>
                              <w:szCs w:val="28"/>
                              <w:rtl/>
                              <w:lang w:bidi="ar-SA"/>
                            </w:rPr>
                            <w:t>التفتيش على موضوع اللغة والأدب العربيّ في المرحلة فوق الابتدائيّة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551" w:type="dxa"/>
        </w:tcPr>
        <w:p w14:paraId="369209CA" w14:textId="77777777" w:rsidR="009B1A3E" w:rsidRPr="009B1A3E" w:rsidRDefault="009B1A3E" w:rsidP="009B1A3E">
          <w:pPr>
            <w:contextualSpacing/>
            <w:jc w:val="center"/>
            <w:rPr>
              <w:rFonts w:ascii="Sakkal Majalla" w:hAnsi="Sakkal Majalla" w:cs="Sakkal Majalla"/>
              <w:sz w:val="28"/>
              <w:szCs w:val="28"/>
              <w:lang w:bidi="ar-JO"/>
            </w:rPr>
          </w:pPr>
        </w:p>
      </w:tc>
    </w:tr>
    <w:tr w:rsidR="009B1A3E" w:rsidRPr="009B1A3E" w14:paraId="5523987E" w14:textId="77777777" w:rsidTr="009B1A3E">
      <w:tc>
        <w:tcPr>
          <w:tcW w:w="9350" w:type="dxa"/>
          <w:gridSpan w:val="3"/>
        </w:tcPr>
        <w:p w14:paraId="3E68CA3F" w14:textId="691E2944" w:rsidR="009B1A3E" w:rsidRPr="009B1A3E" w:rsidRDefault="009B1A3E" w:rsidP="009B1A3E">
          <w:pPr>
            <w:contextualSpacing/>
            <w:jc w:val="center"/>
            <w:rPr>
              <w:rFonts w:ascii="Sakkal Majalla" w:hAnsi="Sakkal Majalla" w:cs="Sakkal Majalla"/>
              <w:sz w:val="28"/>
              <w:szCs w:val="28"/>
              <w:lang w:bidi="ar-JO"/>
            </w:rPr>
          </w:pPr>
        </w:p>
      </w:tc>
    </w:tr>
  </w:tbl>
  <w:p w14:paraId="4D67E3CA" w14:textId="77777777" w:rsidR="00303351" w:rsidRPr="009B1A3E" w:rsidRDefault="003033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3AF"/>
    <w:multiLevelType w:val="multilevel"/>
    <w:tmpl w:val="63C4E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C54968"/>
    <w:multiLevelType w:val="multilevel"/>
    <w:tmpl w:val="DD00E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B1933CD"/>
    <w:multiLevelType w:val="multilevel"/>
    <w:tmpl w:val="F134D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0C8022F"/>
    <w:multiLevelType w:val="multilevel"/>
    <w:tmpl w:val="F3EE8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0807E29"/>
    <w:multiLevelType w:val="hybridMultilevel"/>
    <w:tmpl w:val="72B29B2C"/>
    <w:lvl w:ilvl="0" w:tplc="14EE2CE2">
      <w:start w:val="1"/>
      <w:numFmt w:val="bullet"/>
      <w:lvlText w:val="²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35"/>
    <w:rsid w:val="0003481A"/>
    <w:rsid w:val="000A0A41"/>
    <w:rsid w:val="001624BE"/>
    <w:rsid w:val="00187B54"/>
    <w:rsid w:val="002A71E9"/>
    <w:rsid w:val="002E626C"/>
    <w:rsid w:val="00303351"/>
    <w:rsid w:val="0037612B"/>
    <w:rsid w:val="00413D8F"/>
    <w:rsid w:val="004278C5"/>
    <w:rsid w:val="00432092"/>
    <w:rsid w:val="0049013C"/>
    <w:rsid w:val="005D6BFC"/>
    <w:rsid w:val="006B7E35"/>
    <w:rsid w:val="0079010F"/>
    <w:rsid w:val="00790444"/>
    <w:rsid w:val="007C3595"/>
    <w:rsid w:val="009A5C95"/>
    <w:rsid w:val="009B1A3E"/>
    <w:rsid w:val="00AA25C9"/>
    <w:rsid w:val="00AB146A"/>
    <w:rsid w:val="00AC37F3"/>
    <w:rsid w:val="00B86BDB"/>
    <w:rsid w:val="00BC5080"/>
    <w:rsid w:val="00C02846"/>
    <w:rsid w:val="00D04CD6"/>
    <w:rsid w:val="00D87815"/>
    <w:rsid w:val="00DD7617"/>
    <w:rsid w:val="00F905A7"/>
    <w:rsid w:val="00F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6D74"/>
  <w15:docId w15:val="{56FE478E-60D9-4A4B-B01D-B7A8F99F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033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303351"/>
  </w:style>
  <w:style w:type="paragraph" w:styleId="a7">
    <w:name w:val="footer"/>
    <w:basedOn w:val="a"/>
    <w:link w:val="a8"/>
    <w:uiPriority w:val="99"/>
    <w:unhideWhenUsed/>
    <w:rsid w:val="003033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303351"/>
  </w:style>
  <w:style w:type="table" w:styleId="a9">
    <w:name w:val="Table Grid"/>
    <w:basedOn w:val="a1"/>
    <w:uiPriority w:val="39"/>
    <w:rsid w:val="00303351"/>
    <w:pPr>
      <w:bidi w:val="0"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רשת טבלה1"/>
    <w:basedOn w:val="a1"/>
    <w:next w:val="a9"/>
    <w:uiPriority w:val="59"/>
    <w:rsid w:val="009B1A3E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C508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C508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D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yda.education.gov.il/files/Mazkirut_Pedagogit/ArabEdu/Arabic/2026/The-Poem-of-Love-by-Kahlil-Gibran.pdf" TargetMode="External"/><Relationship Id="rId13" Type="http://schemas.openxmlformats.org/officeDocument/2006/relationships/hyperlink" Target="https://learn.education.gov.il/go/70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yda.education.gov.il/files/Mazkirut_Pedagogit/ArabEdu/Arabic/2026/Prayer-by-Khalil-Gibran.pdf" TargetMode="External"/><Relationship Id="rId12" Type="http://schemas.openxmlformats.org/officeDocument/2006/relationships/hyperlink" Target="https://learn.education.gov.il/go/648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.education.gov.il/go/7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arn.education.gov.il/go/7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yda.education.gov.il/files/Mazkirut_Pedagogit/ArabicToArabs/a-shorshe-ami-arabic-unit-9-10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Najjar</dc:creator>
  <cp:lastModifiedBy>אליאס נג'אר</cp:lastModifiedBy>
  <cp:revision>7</cp:revision>
  <dcterms:created xsi:type="dcterms:W3CDTF">2025-12-07T19:59:00Z</dcterms:created>
  <dcterms:modified xsi:type="dcterms:W3CDTF">2025-12-07T22:03:00Z</dcterms:modified>
</cp:coreProperties>
</file>