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CE" w:rsidRPr="00EB4ABF" w:rsidRDefault="004C6ACE" w:rsidP="004451CB">
      <w:pPr>
        <w:spacing w:after="0" w:line="240" w:lineRule="auto"/>
        <w:jc w:val="center"/>
        <w:outlineLvl w:val="2"/>
        <w:rPr>
          <w:rFonts w:ascii="Arial (Hebrew)" w:hAnsi="Arial (Hebrew)" w:cs="Arial (Hebrew)"/>
          <w:b/>
          <w:bCs/>
          <w:color w:val="000000"/>
          <w:sz w:val="28"/>
          <w:szCs w:val="28"/>
          <w:rtl/>
        </w:rPr>
      </w:pPr>
      <w:r w:rsidRPr="00EB4ABF">
        <w:rPr>
          <w:rFonts w:ascii="Arial (Hebrew)" w:hAnsi="Arial (Hebrew)" w:cs="Arial (Hebrew)"/>
          <w:b/>
          <w:bCs/>
          <w:color w:val="000000"/>
          <w:sz w:val="28"/>
          <w:szCs w:val="28"/>
          <w:rtl/>
        </w:rPr>
        <w:t>פירושים לסוגיות מיחידת 'גרות וגיור</w:t>
      </w:r>
      <w:r w:rsidRPr="00EB4ABF">
        <w:rPr>
          <w:rFonts w:ascii="Arial (Hebrew)" w:hAnsi="Arial (Hebrew)" w:cs="Arial (Hebrew)"/>
          <w:b/>
          <w:bCs/>
          <w:color w:val="000000"/>
          <w:sz w:val="28"/>
          <w:szCs w:val="28"/>
        </w:rPr>
        <w:t>'</w:t>
      </w:r>
      <w:r w:rsidRPr="00EB4ABF">
        <w:rPr>
          <w:rFonts w:ascii="Arial (Hebrew)" w:hAnsi="Arial (Hebrew)" w:cs="Arial (Hebrew)" w:hint="cs"/>
          <w:b/>
          <w:bCs/>
          <w:color w:val="000000"/>
          <w:sz w:val="28"/>
          <w:szCs w:val="28"/>
          <w:rtl/>
        </w:rPr>
        <w:t xml:space="preserve"> </w:t>
      </w:r>
      <w:r w:rsidRPr="00EB4ABF">
        <w:rPr>
          <w:rFonts w:ascii="Arial (Hebrew)" w:hAnsi="Arial (Hebrew)" w:cs="Arial (Hebrew)"/>
          <w:b/>
          <w:bCs/>
          <w:color w:val="000000"/>
          <w:sz w:val="28"/>
          <w:szCs w:val="28"/>
          <w:rtl/>
        </w:rPr>
        <w:t>–</w:t>
      </w:r>
      <w:r w:rsidRPr="00EB4ABF">
        <w:rPr>
          <w:rFonts w:ascii="Arial (Hebrew)" w:hAnsi="Arial (Hebrew)" w:cs="Arial (Hebrew)" w:hint="cs"/>
          <w:b/>
          <w:bCs/>
          <w:color w:val="000000"/>
          <w:sz w:val="28"/>
          <w:szCs w:val="28"/>
          <w:rtl/>
        </w:rPr>
        <w:t xml:space="preserve"> </w:t>
      </w:r>
      <w:r w:rsidR="004451CB">
        <w:rPr>
          <w:rFonts w:ascii="Arial (Hebrew)" w:hAnsi="Arial (Hebrew)" w:cs="Arial (Hebrew)" w:hint="cs"/>
          <w:b/>
          <w:bCs/>
          <w:color w:val="000000"/>
          <w:sz w:val="28"/>
          <w:szCs w:val="28"/>
          <w:rtl/>
        </w:rPr>
        <w:t>ב</w:t>
      </w:r>
    </w:p>
    <w:p w:rsidR="004C6ACE" w:rsidRPr="00EB4ABF" w:rsidRDefault="004C6ACE" w:rsidP="00EB4ABF">
      <w:pPr>
        <w:spacing w:after="0" w:line="240" w:lineRule="auto"/>
        <w:jc w:val="center"/>
        <w:outlineLvl w:val="2"/>
        <w:rPr>
          <w:rFonts w:ascii="Arial (Hebrew)" w:hAnsi="Arial (Hebrew)" w:cs="Arial (Hebrew)"/>
          <w:b/>
          <w:bCs/>
          <w:color w:val="000000"/>
          <w:sz w:val="28"/>
          <w:szCs w:val="28"/>
          <w:rtl/>
        </w:rPr>
      </w:pPr>
      <w:r w:rsidRPr="00EB4ABF">
        <w:rPr>
          <w:rFonts w:ascii="Arial (Hebrew)" w:hAnsi="Arial (Hebrew)" w:cs="Arial (Hebrew)"/>
          <w:b/>
          <w:bCs/>
          <w:color w:val="000000"/>
          <w:sz w:val="28"/>
          <w:szCs w:val="28"/>
          <w:rtl/>
        </w:rPr>
        <w:t>הפירושים נכתבו ונערכו ע"י יהודה שרון</w:t>
      </w:r>
    </w:p>
    <w:p w:rsidR="00EB4ABF" w:rsidRDefault="00EB4ABF" w:rsidP="00EB4ABF">
      <w:pPr>
        <w:spacing w:after="0" w:line="240" w:lineRule="auto"/>
        <w:outlineLvl w:val="2"/>
        <w:rPr>
          <w:rFonts w:ascii="Arial (Hebrew)" w:hAnsi="Arial (Hebrew)" w:cs="Arial (Hebrew)"/>
          <w:color w:val="000000"/>
        </w:rPr>
      </w:pPr>
    </w:p>
    <w:p w:rsidR="004C6ACE" w:rsidRPr="00A54E11" w:rsidRDefault="004C6ACE" w:rsidP="00EB4ABF">
      <w:pPr>
        <w:spacing w:after="0" w:line="240" w:lineRule="auto"/>
        <w:outlineLvl w:val="2"/>
        <w:rPr>
          <w:rFonts w:ascii="Arial (Hebrew)" w:eastAsia="Times New Roman" w:hAnsi="Arial (Hebrew)" w:cs="Arial (Hebrew)"/>
          <w:color w:val="000000"/>
          <w:sz w:val="28"/>
          <w:szCs w:val="28"/>
        </w:rPr>
      </w:pPr>
      <w:r w:rsidRPr="00A54E11">
        <w:rPr>
          <w:rFonts w:ascii="Arial (Hebrew)" w:eastAsia="Times New Roman" w:hAnsi="Arial (Hebrew)" w:cs="Arial (Hebrew)"/>
          <w:b/>
          <w:bCs/>
          <w:color w:val="000000"/>
          <w:sz w:val="28"/>
          <w:szCs w:val="28"/>
          <w:rtl/>
        </w:rPr>
        <w:t>פירוש למקור 10- תלמוד בבלי מסכת יבמות דף כד עמוד ב</w:t>
      </w:r>
      <w:r w:rsidR="00A54E11" w:rsidRPr="00A54E11">
        <w:rPr>
          <w:rFonts w:ascii="Arial (Hebrew)" w:eastAsia="Times New Roman" w:hAnsi="Arial (Hebrew)" w:cs="Arial (Hebrew)" w:hint="cs"/>
          <w:b/>
          <w:bCs/>
          <w:color w:val="000000"/>
          <w:sz w:val="28"/>
          <w:szCs w:val="28"/>
          <w:rtl/>
        </w:rPr>
        <w:t xml:space="preserve"> </w:t>
      </w:r>
      <w:r w:rsidR="00A54E11">
        <w:rPr>
          <w:rFonts w:ascii="Arial (Hebrew)" w:eastAsia="Times New Roman" w:hAnsi="Arial (Hebrew)" w:cs="Arial (Hebrew)"/>
          <w:color w:val="000000"/>
          <w:sz w:val="28"/>
          <w:szCs w:val="28"/>
          <w:rtl/>
        </w:rPr>
        <w:br/>
      </w:r>
      <w:bookmarkStart w:id="0" w:name="_GoBack"/>
      <w:bookmarkEnd w:id="0"/>
      <w:r w:rsidR="00A54E11" w:rsidRPr="00A54E11">
        <w:rPr>
          <w:rFonts w:ascii="Arial (Hebrew)" w:eastAsia="Times New Roman" w:hAnsi="Arial (Hebrew)" w:cs="Arial (Hebrew)" w:hint="cs"/>
          <w:color w:val="000000"/>
          <w:sz w:val="28"/>
          <w:szCs w:val="28"/>
          <w:rtl/>
        </w:rPr>
        <w:t>(עמ' 26 בחוברת המקורות)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bl>
      <w:tblPr>
        <w:bidiVisual/>
        <w:tblW w:w="0" w:type="auto"/>
        <w:tblBorders>
          <w:top w:val="single" w:sz="6" w:space="0" w:color="6B7ECE"/>
          <w:left w:val="single" w:sz="6" w:space="0" w:color="6B7ECE"/>
          <w:bottom w:val="single" w:sz="6" w:space="0" w:color="6B7ECE"/>
          <w:right w:val="single" w:sz="6" w:space="0" w:color="6B7ECE"/>
          <w:insideH w:val="single" w:sz="6" w:space="0" w:color="6B7ECE"/>
          <w:insideV w:val="single" w:sz="6" w:space="0" w:color="6B7ECE"/>
        </w:tblBorders>
        <w:tblLayout w:type="fixed"/>
        <w:tblLook w:val="04A0" w:firstRow="1" w:lastRow="0" w:firstColumn="1" w:lastColumn="0" w:noHBand="0" w:noVBand="1"/>
      </w:tblPr>
      <w:tblGrid>
        <w:gridCol w:w="3914"/>
        <w:gridCol w:w="4140"/>
      </w:tblGrid>
      <w:tr w:rsidR="004C6ACE" w:rsidRPr="004C6ACE" w:rsidTr="004C6ACE">
        <w:tc>
          <w:tcPr>
            <w:tcW w:w="391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b/>
                <w:bCs/>
                <w:color w:val="000000"/>
                <w:sz w:val="24"/>
                <w:szCs w:val="24"/>
                <w:rtl/>
              </w:rPr>
              <w:t xml:space="preserve">מתני'. הנטען על השפחה </w:t>
            </w:r>
            <w:proofErr w:type="spellStart"/>
            <w:r w:rsidRPr="004C6ACE">
              <w:rPr>
                <w:rFonts w:ascii="Arial (Hebrew)" w:eastAsia="Times New Roman" w:hAnsi="Arial (Hebrew)" w:cs="Arial (Hebrew)"/>
                <w:b/>
                <w:bCs/>
                <w:color w:val="000000"/>
                <w:sz w:val="24"/>
                <w:szCs w:val="24"/>
                <w:rtl/>
              </w:rPr>
              <w:t>ונשתחררה</w:t>
            </w:r>
            <w:proofErr w:type="spellEnd"/>
            <w:r w:rsidRPr="004C6ACE">
              <w:rPr>
                <w:rFonts w:ascii="Arial (Hebrew)" w:eastAsia="Times New Roman" w:hAnsi="Arial (Hebrew)" w:cs="Arial (Hebrew)"/>
                <w:b/>
                <w:bCs/>
                <w:color w:val="000000"/>
                <w:sz w:val="24"/>
                <w:szCs w:val="24"/>
                <w:rtl/>
              </w:rPr>
              <w:t>, או על העובדת</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כוכבים </w:t>
            </w:r>
            <w:proofErr w:type="spellStart"/>
            <w:r w:rsidRPr="004C6ACE">
              <w:rPr>
                <w:rFonts w:ascii="Arial (Hebrew)" w:eastAsia="Times New Roman" w:hAnsi="Arial (Hebrew)" w:cs="Arial (Hebrew)"/>
                <w:b/>
                <w:bCs/>
                <w:color w:val="000000"/>
                <w:sz w:val="24"/>
                <w:szCs w:val="24"/>
                <w:rtl/>
              </w:rPr>
              <w:t>ונתגיירה</w:t>
            </w:r>
            <w:proofErr w:type="spellEnd"/>
            <w:r w:rsidRPr="004C6ACE">
              <w:rPr>
                <w:rFonts w:ascii="Arial (Hebrew)" w:eastAsia="Times New Roman" w:hAnsi="Arial (Hebrew)" w:cs="Arial (Hebrew)"/>
                <w:b/>
                <w:bCs/>
                <w:color w:val="000000"/>
                <w:sz w:val="24"/>
                <w:szCs w:val="24"/>
                <w:rtl/>
              </w:rPr>
              <w:t xml:space="preserve"> - הרי זה לא יכנוס, ואם כנס - אין </w:t>
            </w:r>
            <w:proofErr w:type="spellStart"/>
            <w:r w:rsidRPr="004C6ACE">
              <w:rPr>
                <w:rFonts w:ascii="Arial (Hebrew)" w:eastAsia="Times New Roman" w:hAnsi="Arial (Hebrew)" w:cs="Arial (Hebrew)"/>
                <w:b/>
                <w:bCs/>
                <w:color w:val="000000"/>
                <w:sz w:val="24"/>
                <w:szCs w:val="24"/>
                <w:rtl/>
              </w:rPr>
              <w:t>מוציאין</w:t>
            </w:r>
            <w:proofErr w:type="spellEnd"/>
            <w:r w:rsidRPr="004C6ACE">
              <w:rPr>
                <w:rFonts w:ascii="Arial (Hebrew)" w:eastAsia="Times New Roman" w:hAnsi="Arial (Hebrew)" w:cs="Arial (Hebrew)"/>
                <w:b/>
                <w:bCs/>
                <w:color w:val="000000"/>
                <w:sz w:val="24"/>
                <w:szCs w:val="24"/>
                <w:rtl/>
              </w:rPr>
              <w:t xml:space="preserve"> מידו</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הנטען</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על אשת איש והוציאוה מתחת</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ידו, אע"פ שכנס - יוציא</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proofErr w:type="spellStart"/>
            <w:r w:rsidRPr="004C6ACE">
              <w:rPr>
                <w:rFonts w:ascii="Arial (Hebrew)" w:eastAsia="Times New Roman" w:hAnsi="Arial (Hebrew)" w:cs="Arial (Hebrew)"/>
                <w:b/>
                <w:bCs/>
                <w:color w:val="000000"/>
                <w:sz w:val="24"/>
                <w:szCs w:val="24"/>
                <w:rtl/>
              </w:rPr>
              <w:t>גמ</w:t>
            </w:r>
            <w:proofErr w:type="spellEnd"/>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הא גיורת </w:t>
            </w:r>
            <w:proofErr w:type="spellStart"/>
            <w:r w:rsidRPr="004C6ACE">
              <w:rPr>
                <w:rFonts w:ascii="Arial (Hebrew)" w:eastAsia="Times New Roman" w:hAnsi="Arial (Hebrew)" w:cs="Arial (Hebrew)"/>
                <w:b/>
                <w:bCs/>
                <w:color w:val="000000"/>
                <w:sz w:val="24"/>
                <w:szCs w:val="24"/>
                <w:rtl/>
              </w:rPr>
              <w:t>מיהא</w:t>
            </w:r>
            <w:proofErr w:type="spellEnd"/>
            <w:r w:rsidRPr="004C6ACE">
              <w:rPr>
                <w:rFonts w:ascii="Arial (Hebrew)" w:eastAsia="Times New Roman" w:hAnsi="Arial (Hebrew)" w:cs="Arial (Hebrew)"/>
                <w:b/>
                <w:bCs/>
                <w:color w:val="000000"/>
                <w:sz w:val="24"/>
                <w:szCs w:val="24"/>
                <w:rtl/>
              </w:rPr>
              <w:t xml:space="preserve"> </w:t>
            </w:r>
            <w:proofErr w:type="spellStart"/>
            <w:r w:rsidRPr="004C6ACE">
              <w:rPr>
                <w:rFonts w:ascii="Arial (Hebrew)" w:eastAsia="Times New Roman" w:hAnsi="Arial (Hebrew)" w:cs="Arial (Hebrew)"/>
                <w:b/>
                <w:bCs/>
                <w:color w:val="000000"/>
                <w:sz w:val="24"/>
                <w:szCs w:val="24"/>
                <w:rtl/>
              </w:rPr>
              <w:t>הויא</w:t>
            </w:r>
            <w:proofErr w:type="spellEnd"/>
            <w:r w:rsidRPr="004C6ACE">
              <w:rPr>
                <w:rFonts w:ascii="Arial (Hebrew)" w:eastAsia="Times New Roman" w:hAnsi="Arial (Hebrew)" w:cs="Arial (Hebrew)"/>
                <w:b/>
                <w:bCs/>
                <w:color w:val="000000"/>
                <w:sz w:val="24"/>
                <w:szCs w:val="24"/>
                <w:rtl/>
              </w:rPr>
              <w:t xml:space="preserve">; </w:t>
            </w:r>
            <w:proofErr w:type="spellStart"/>
            <w:r w:rsidRPr="004C6ACE">
              <w:rPr>
                <w:rFonts w:ascii="Arial (Hebrew)" w:eastAsia="Times New Roman" w:hAnsi="Arial (Hebrew)" w:cs="Arial (Hebrew)"/>
                <w:b/>
                <w:bCs/>
                <w:color w:val="000000"/>
                <w:sz w:val="24"/>
                <w:szCs w:val="24"/>
                <w:rtl/>
              </w:rPr>
              <w:t>ורמינהי</w:t>
            </w:r>
            <w:proofErr w:type="spellEnd"/>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אחד איש שנתגייר לשום </w:t>
            </w:r>
            <w:proofErr w:type="spellStart"/>
            <w:r w:rsidRPr="004C6ACE">
              <w:rPr>
                <w:rFonts w:ascii="Arial (Hebrew)" w:eastAsia="Times New Roman" w:hAnsi="Arial (Hebrew)" w:cs="Arial (Hebrew)"/>
                <w:b/>
                <w:bCs/>
                <w:color w:val="000000"/>
                <w:sz w:val="24"/>
                <w:szCs w:val="24"/>
                <w:rtl/>
              </w:rPr>
              <w:t>אשה</w:t>
            </w:r>
            <w:proofErr w:type="spellEnd"/>
            <w:r w:rsidRPr="004C6ACE">
              <w:rPr>
                <w:rFonts w:ascii="Arial (Hebrew)" w:eastAsia="Times New Roman" w:hAnsi="Arial (Hebrew)" w:cs="Arial (Hebrew)"/>
                <w:b/>
                <w:bCs/>
                <w:color w:val="000000"/>
                <w:sz w:val="24"/>
                <w:szCs w:val="24"/>
                <w:rtl/>
              </w:rPr>
              <w:t xml:space="preserve">, ואחד </w:t>
            </w:r>
            <w:proofErr w:type="spellStart"/>
            <w:r w:rsidRPr="004C6ACE">
              <w:rPr>
                <w:rFonts w:ascii="Arial (Hebrew)" w:eastAsia="Times New Roman" w:hAnsi="Arial (Hebrew)" w:cs="Arial (Hebrew)"/>
                <w:b/>
                <w:bCs/>
                <w:color w:val="000000"/>
                <w:sz w:val="24"/>
                <w:szCs w:val="24"/>
                <w:rtl/>
              </w:rPr>
              <w:t>אשה</w:t>
            </w:r>
            <w:proofErr w:type="spellEnd"/>
            <w:r w:rsidRPr="004C6ACE">
              <w:rPr>
                <w:rFonts w:ascii="Arial (Hebrew)" w:eastAsia="Times New Roman" w:hAnsi="Arial (Hebrew)" w:cs="Arial (Hebrew)"/>
                <w:b/>
                <w:bCs/>
                <w:color w:val="000000"/>
                <w:sz w:val="24"/>
                <w:szCs w:val="24"/>
                <w:rtl/>
              </w:rPr>
              <w:t xml:space="preserve"> </w:t>
            </w:r>
            <w:proofErr w:type="spellStart"/>
            <w:r w:rsidRPr="004C6ACE">
              <w:rPr>
                <w:rFonts w:ascii="Arial (Hebrew)" w:eastAsia="Times New Roman" w:hAnsi="Arial (Hebrew)" w:cs="Arial (Hebrew)"/>
                <w:b/>
                <w:bCs/>
                <w:color w:val="000000"/>
                <w:sz w:val="24"/>
                <w:szCs w:val="24"/>
                <w:rtl/>
              </w:rPr>
              <w:t>שנתגיירה</w:t>
            </w:r>
            <w:proofErr w:type="spellEnd"/>
            <w:r w:rsidRPr="004C6ACE">
              <w:rPr>
                <w:rFonts w:ascii="Arial (Hebrew)" w:eastAsia="Times New Roman" w:hAnsi="Arial (Hebrew)" w:cs="Arial (Hebrew)"/>
                <w:b/>
                <w:bCs/>
                <w:color w:val="000000"/>
                <w:sz w:val="24"/>
                <w:szCs w:val="24"/>
                <w:rtl/>
              </w:rPr>
              <w:t xml:space="preserve"> לשום איש, וכן מי שנתגייר לשום שולחן</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מלכים, לשום עבדי שלמה - אינן גרים, דברי ר' נחמיה; שהיה רבי נחמיה אומר: אחד גירי</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אריות, ואחד גירי חלומות, ואחד גירי מרדכי ואסתר - אינן גרים, עד שיתגיירו בזמן</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הזה</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בזמן</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הזה ס"ד</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אלא</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אימא: כבזמן</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הזה</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lastRenderedPageBreak/>
              <w:t xml:space="preserve">　</w:t>
            </w:r>
            <w:r w:rsidRPr="004C6ACE">
              <w:rPr>
                <w:rFonts w:ascii="Arial (Hebrew)" w:eastAsia="Times New Roman" w:hAnsi="Arial (Hebrew)" w:cs="Arial (Hebrew)"/>
                <w:b/>
                <w:bCs/>
                <w:color w:val="000000"/>
                <w:sz w:val="24"/>
                <w:szCs w:val="24"/>
                <w:rtl/>
              </w:rPr>
              <w:t>הא איתמר עלה, אמר רבי יצחק בר</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שמואל בר </w:t>
            </w:r>
            <w:proofErr w:type="spellStart"/>
            <w:r w:rsidRPr="004C6ACE">
              <w:rPr>
                <w:rFonts w:ascii="Arial (Hebrew)" w:eastAsia="Times New Roman" w:hAnsi="Arial (Hebrew)" w:cs="Arial (Hebrew)"/>
                <w:b/>
                <w:bCs/>
                <w:color w:val="000000"/>
                <w:sz w:val="24"/>
                <w:szCs w:val="24"/>
                <w:rtl/>
              </w:rPr>
              <w:t>מרתא</w:t>
            </w:r>
            <w:proofErr w:type="spellEnd"/>
            <w:r w:rsidRPr="004C6ACE">
              <w:rPr>
                <w:rFonts w:ascii="Arial (Hebrew)" w:eastAsia="Times New Roman" w:hAnsi="Arial (Hebrew)" w:cs="Arial (Hebrew)"/>
                <w:b/>
                <w:bCs/>
                <w:color w:val="000000"/>
                <w:sz w:val="24"/>
                <w:szCs w:val="24"/>
                <w:rtl/>
              </w:rPr>
              <w:t xml:space="preserve"> משמיה </w:t>
            </w:r>
            <w:proofErr w:type="spellStart"/>
            <w:r w:rsidRPr="004C6ACE">
              <w:rPr>
                <w:rFonts w:ascii="Arial (Hebrew)" w:eastAsia="Times New Roman" w:hAnsi="Arial (Hebrew)" w:cs="Arial (Hebrew)"/>
                <w:b/>
                <w:bCs/>
                <w:color w:val="000000"/>
                <w:sz w:val="24"/>
                <w:szCs w:val="24"/>
                <w:rtl/>
              </w:rPr>
              <w:t>דרב</w:t>
            </w:r>
            <w:proofErr w:type="spellEnd"/>
            <w:r w:rsidRPr="004C6ACE">
              <w:rPr>
                <w:rFonts w:ascii="Arial (Hebrew)" w:eastAsia="Times New Roman" w:hAnsi="Arial (Hebrew)" w:cs="Arial (Hebrew)"/>
                <w:b/>
                <w:bCs/>
                <w:color w:val="000000"/>
                <w:sz w:val="24"/>
                <w:szCs w:val="24"/>
                <w:rtl/>
              </w:rPr>
              <w:t>: הלכה כדברי האומר כולם גרים הם</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אי</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הכי, </w:t>
            </w:r>
            <w:proofErr w:type="spellStart"/>
            <w:r w:rsidRPr="004C6ACE">
              <w:rPr>
                <w:rFonts w:ascii="Arial (Hebrew)" w:eastAsia="Times New Roman" w:hAnsi="Arial (Hebrew)" w:cs="Arial (Hebrew)"/>
                <w:b/>
                <w:bCs/>
                <w:color w:val="000000"/>
                <w:sz w:val="24"/>
                <w:szCs w:val="24"/>
                <w:rtl/>
              </w:rPr>
              <w:t>לכתחלה</w:t>
            </w:r>
            <w:proofErr w:type="spellEnd"/>
            <w:r w:rsidRPr="004C6ACE">
              <w:rPr>
                <w:rFonts w:ascii="Arial (Hebrew)" w:eastAsia="Times New Roman" w:hAnsi="Arial (Hebrew)" w:cs="Arial (Hebrew)"/>
                <w:b/>
                <w:bCs/>
                <w:color w:val="000000"/>
                <w:sz w:val="24"/>
                <w:szCs w:val="24"/>
              </w:rPr>
              <w:t xml:space="preserve"> </w:t>
            </w:r>
            <w:proofErr w:type="spellStart"/>
            <w:r w:rsidRPr="004C6ACE">
              <w:rPr>
                <w:rFonts w:ascii="Arial (Hebrew)" w:eastAsia="Times New Roman" w:hAnsi="Arial (Hebrew)" w:cs="Arial (Hebrew)"/>
                <w:b/>
                <w:bCs/>
                <w:color w:val="000000"/>
                <w:sz w:val="24"/>
                <w:szCs w:val="24"/>
                <w:rtl/>
              </w:rPr>
              <w:t>נמי</w:t>
            </w:r>
            <w:proofErr w:type="spellEnd"/>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משום</w:t>
            </w:r>
            <w:r w:rsidRPr="004C6ACE">
              <w:rPr>
                <w:rFonts w:ascii="Arial (Hebrew)" w:eastAsia="Times New Roman" w:hAnsi="Arial (Hebrew)" w:cs="Arial (Hebrew)"/>
                <w:b/>
                <w:bCs/>
                <w:color w:val="000000"/>
                <w:sz w:val="24"/>
                <w:szCs w:val="24"/>
              </w:rPr>
              <w:t xml:space="preserve"> </w:t>
            </w:r>
            <w:proofErr w:type="spellStart"/>
            <w:r w:rsidRPr="004C6ACE">
              <w:rPr>
                <w:rFonts w:ascii="Arial (Hebrew)" w:eastAsia="Times New Roman" w:hAnsi="Arial (Hebrew)" w:cs="Arial (Hebrew)"/>
                <w:b/>
                <w:bCs/>
                <w:color w:val="000000"/>
                <w:sz w:val="24"/>
                <w:szCs w:val="24"/>
                <w:rtl/>
              </w:rPr>
              <w:t>דרב</w:t>
            </w:r>
            <w:proofErr w:type="spellEnd"/>
            <w:r w:rsidRPr="004C6ACE">
              <w:rPr>
                <w:rFonts w:ascii="Arial (Hebrew)" w:eastAsia="Times New Roman" w:hAnsi="Arial (Hebrew)" w:cs="Arial (Hebrew)"/>
                <w:b/>
                <w:bCs/>
                <w:color w:val="000000"/>
                <w:sz w:val="24"/>
                <w:szCs w:val="24"/>
                <w:rtl/>
              </w:rPr>
              <w:t xml:space="preserve"> אסי, </w:t>
            </w:r>
            <w:proofErr w:type="spellStart"/>
            <w:r w:rsidRPr="004C6ACE">
              <w:rPr>
                <w:rFonts w:ascii="Arial (Hebrew)" w:eastAsia="Times New Roman" w:hAnsi="Arial (Hebrew)" w:cs="Arial (Hebrew)"/>
                <w:b/>
                <w:bCs/>
                <w:color w:val="000000"/>
                <w:sz w:val="24"/>
                <w:szCs w:val="24"/>
                <w:rtl/>
              </w:rPr>
              <w:t>דאמר</w:t>
            </w:r>
            <w:proofErr w:type="spellEnd"/>
            <w:r w:rsidRPr="004C6ACE">
              <w:rPr>
                <w:rFonts w:ascii="Arial (Hebrew)" w:eastAsia="Times New Roman" w:hAnsi="Arial (Hebrew)" w:cs="Arial (Hebrew)"/>
                <w:b/>
                <w:bCs/>
                <w:color w:val="000000"/>
                <w:sz w:val="24"/>
                <w:szCs w:val="24"/>
                <w:rtl/>
              </w:rPr>
              <w:t xml:space="preserve"> רב </w:t>
            </w:r>
            <w:proofErr w:type="spellStart"/>
            <w:r w:rsidRPr="004C6ACE">
              <w:rPr>
                <w:rFonts w:ascii="Arial (Hebrew)" w:eastAsia="Times New Roman" w:hAnsi="Arial (Hebrew)" w:cs="Arial (Hebrew)"/>
                <w:b/>
                <w:bCs/>
                <w:color w:val="000000"/>
                <w:sz w:val="24"/>
                <w:szCs w:val="24"/>
                <w:rtl/>
              </w:rPr>
              <w:t>אסי:משלי</w:t>
            </w:r>
            <w:proofErr w:type="spellEnd"/>
            <w:r w:rsidRPr="004C6ACE">
              <w:rPr>
                <w:rFonts w:ascii="Arial (Hebrew)" w:eastAsia="Times New Roman" w:hAnsi="Arial (Hebrew)" w:cs="Arial (Hebrew)"/>
                <w:b/>
                <w:bCs/>
                <w:color w:val="000000"/>
                <w:sz w:val="24"/>
                <w:szCs w:val="24"/>
                <w:rtl/>
              </w:rPr>
              <w:t xml:space="preserve"> ד</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כד</w:t>
            </w:r>
            <w:r w:rsidRPr="004C6ACE">
              <w:rPr>
                <w:rFonts w:ascii="Arial (Hebrew)" w:eastAsia="Times New Roman" w:hAnsi="Arial (Hebrew)" w:cs="Arial (Hebrew)"/>
                <w:b/>
                <w:bCs/>
                <w:color w:val="000000"/>
                <w:sz w:val="24"/>
                <w:szCs w:val="24"/>
              </w:rPr>
              <w:t>)</w:t>
            </w:r>
            <w:r w:rsidRPr="004C6ACE">
              <w:rPr>
                <w:rFonts w:ascii="Arial (Hebrew)" w:eastAsia="Times New Roman" w:hAnsi="Arial (Hebrew)" w:cs="Arial (Hebrew)"/>
                <w:b/>
                <w:bCs/>
                <w:color w:val="000000"/>
                <w:sz w:val="24"/>
                <w:szCs w:val="24"/>
                <w:rtl/>
              </w:rPr>
              <w:t>הסר</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 xml:space="preserve">ממך </w:t>
            </w:r>
            <w:proofErr w:type="spellStart"/>
            <w:r w:rsidRPr="004C6ACE">
              <w:rPr>
                <w:rFonts w:ascii="Arial (Hebrew)" w:eastAsia="Times New Roman" w:hAnsi="Arial (Hebrew)" w:cs="Arial (Hebrew)"/>
                <w:b/>
                <w:bCs/>
                <w:color w:val="000000"/>
                <w:sz w:val="24"/>
                <w:szCs w:val="24"/>
                <w:rtl/>
              </w:rPr>
              <w:t>עקשות</w:t>
            </w:r>
            <w:proofErr w:type="spellEnd"/>
            <w:r w:rsidRPr="004C6ACE">
              <w:rPr>
                <w:rFonts w:ascii="Arial (Hebrew)" w:eastAsia="Times New Roman" w:hAnsi="Arial (Hebrew)" w:cs="Arial (Hebrew)"/>
                <w:b/>
                <w:bCs/>
                <w:color w:val="000000"/>
                <w:sz w:val="24"/>
                <w:szCs w:val="24"/>
                <w:rtl/>
              </w:rPr>
              <w:t xml:space="preserve"> פה ולזות</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שפתים הרחק ממך</w:t>
            </w:r>
            <w:r w:rsidRPr="004C6ACE">
              <w:rPr>
                <w:rFonts w:ascii="Arial (Hebrew)" w:eastAsia="Times New Roman" w:hAnsi="Arial (Hebrew)" w:cs="Arial (Hebrew)"/>
                <w:b/>
                <w:bCs/>
                <w:color w:val="000000"/>
                <w:sz w:val="24"/>
                <w:szCs w:val="24"/>
              </w:rPr>
              <w:t>:</w:t>
            </w: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MS Gothic" w:eastAsia="MS Gothic" w:hAnsi="MS Gothic" w:cs="MS Gothic"/>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t>ת</w:t>
            </w:r>
            <w:r w:rsidRPr="004C6ACE">
              <w:rPr>
                <w:rFonts w:ascii="Arial (Hebrew)" w:eastAsia="Times New Roman" w:hAnsi="Arial (Hebrew)" w:cs="Arial (Hebrew)"/>
                <w:b/>
                <w:bCs/>
                <w:color w:val="000000"/>
                <w:sz w:val="24"/>
                <w:szCs w:val="24"/>
              </w:rPr>
              <w:t>"</w:t>
            </w:r>
            <w:r w:rsidRPr="004C6ACE">
              <w:rPr>
                <w:rFonts w:ascii="Arial (Hebrew)" w:eastAsia="Times New Roman" w:hAnsi="Arial (Hebrew)" w:cs="Arial (Hebrew)"/>
                <w:b/>
                <w:bCs/>
                <w:color w:val="000000"/>
                <w:sz w:val="24"/>
                <w:szCs w:val="24"/>
                <w:rtl/>
              </w:rPr>
              <w:t xml:space="preserve">ר: אין </w:t>
            </w:r>
            <w:proofErr w:type="spellStart"/>
            <w:r w:rsidRPr="004C6ACE">
              <w:rPr>
                <w:rFonts w:ascii="Arial (Hebrew)" w:eastAsia="Times New Roman" w:hAnsi="Arial (Hebrew)" w:cs="Arial (Hebrew)"/>
                <w:b/>
                <w:bCs/>
                <w:color w:val="000000"/>
                <w:sz w:val="24"/>
                <w:szCs w:val="24"/>
                <w:rtl/>
              </w:rPr>
              <w:t>מקבלין</w:t>
            </w:r>
            <w:proofErr w:type="spellEnd"/>
            <w:r w:rsidRPr="004C6ACE">
              <w:rPr>
                <w:rFonts w:ascii="Arial (Hebrew)" w:eastAsia="Times New Roman" w:hAnsi="Arial (Hebrew)" w:cs="Arial (Hebrew)"/>
                <w:b/>
                <w:bCs/>
                <w:color w:val="000000"/>
                <w:sz w:val="24"/>
                <w:szCs w:val="24"/>
                <w:rtl/>
              </w:rPr>
              <w:t xml:space="preserve"> גרים לימות המשיח</w:t>
            </w:r>
            <w:r w:rsidRPr="004C6ACE">
              <w:rPr>
                <w:rFonts w:ascii="Arial (Hebrew)" w:eastAsia="Times New Roman" w:hAnsi="Arial (Hebrew)" w:cs="Arial (Hebrew)"/>
                <w:b/>
                <w:bCs/>
                <w:color w:val="000000"/>
                <w:sz w:val="24"/>
                <w:szCs w:val="24"/>
              </w:rPr>
              <w:t xml:space="preserve">; </w:t>
            </w:r>
            <w:r w:rsidRPr="004C6ACE">
              <w:rPr>
                <w:rFonts w:ascii="Arial (Hebrew)" w:eastAsia="Times New Roman" w:hAnsi="Arial (Hebrew)" w:cs="Arial (Hebrew)"/>
                <w:b/>
                <w:bCs/>
                <w:color w:val="000000"/>
                <w:sz w:val="24"/>
                <w:szCs w:val="24"/>
                <w:rtl/>
              </w:rPr>
              <w:t>כיוצא בו לא קבלו גרים לא בימי דוד ולא בימי שלמה</w:t>
            </w:r>
            <w:r w:rsidRPr="004C6ACE">
              <w:rPr>
                <w:rFonts w:ascii="Arial (Hebrew)" w:eastAsia="Times New Roman" w:hAnsi="Arial (Hebrew)" w:cs="Arial (Hebrew)"/>
                <w:b/>
                <w:bCs/>
                <w:color w:val="000000"/>
                <w:sz w:val="24"/>
                <w:szCs w:val="24"/>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b/>
                <w:bCs/>
                <w:color w:val="000000"/>
                <w:sz w:val="24"/>
                <w:szCs w:val="24"/>
                <w:rtl/>
              </w:rPr>
              <w:t xml:space="preserve">אמר רבי אליעזר, מאי קרא? (ישעיהו נד) הן גור יגור אפס מאותי מי גר אתך עליך </w:t>
            </w:r>
            <w:proofErr w:type="spellStart"/>
            <w:r w:rsidRPr="004C6ACE">
              <w:rPr>
                <w:rFonts w:ascii="Arial (Hebrew)" w:eastAsia="Times New Roman" w:hAnsi="Arial (Hebrew)" w:cs="Arial (Hebrew)"/>
                <w:b/>
                <w:bCs/>
                <w:color w:val="000000"/>
                <w:sz w:val="24"/>
                <w:szCs w:val="24"/>
                <w:rtl/>
              </w:rPr>
              <w:t>יפול</w:t>
            </w:r>
            <w:proofErr w:type="spellEnd"/>
            <w:r w:rsidRPr="004C6ACE">
              <w:rPr>
                <w:rFonts w:ascii="Arial (Hebrew)" w:eastAsia="Times New Roman" w:hAnsi="Arial (Hebrew)" w:cs="Arial (Hebrew)"/>
                <w:b/>
                <w:bCs/>
                <w:color w:val="000000"/>
                <w:sz w:val="24"/>
                <w:szCs w:val="24"/>
                <w:rtl/>
              </w:rPr>
              <w:t xml:space="preserve">, אבל </w:t>
            </w:r>
            <w:proofErr w:type="spellStart"/>
            <w:r w:rsidRPr="004C6ACE">
              <w:rPr>
                <w:rFonts w:ascii="Arial (Hebrew)" w:eastAsia="Times New Roman" w:hAnsi="Arial (Hebrew)" w:cs="Arial (Hebrew)"/>
                <w:b/>
                <w:bCs/>
                <w:color w:val="000000"/>
                <w:sz w:val="24"/>
                <w:szCs w:val="24"/>
                <w:rtl/>
              </w:rPr>
              <w:t>אידך</w:t>
            </w:r>
            <w:proofErr w:type="spellEnd"/>
            <w:r w:rsidRPr="004C6ACE">
              <w:rPr>
                <w:rFonts w:ascii="Arial (Hebrew)" w:eastAsia="Times New Roman" w:hAnsi="Arial (Hebrew)" w:cs="Arial (Hebrew)"/>
                <w:b/>
                <w:bCs/>
                <w:color w:val="000000"/>
                <w:sz w:val="24"/>
                <w:szCs w:val="24"/>
                <w:rtl/>
              </w:rPr>
              <w:t xml:space="preserve"> לא</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c>
          <w:tcPr>
            <w:tcW w:w="414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משנה: נטען – מי שחשוד שבא על שפחה או על נוכרית והתגיירה, הרי זה לא </w:t>
            </w:r>
            <w:proofErr w:type="spellStart"/>
            <w:r w:rsidRPr="004C6ACE">
              <w:rPr>
                <w:rFonts w:ascii="Arial (Hebrew)" w:eastAsia="Times New Roman" w:hAnsi="Arial (Hebrew)" w:cs="Arial (Hebrew)"/>
                <w:color w:val="000000"/>
                <w:sz w:val="24"/>
                <w:szCs w:val="24"/>
                <w:rtl/>
              </w:rPr>
              <w:t>ישא</w:t>
            </w:r>
            <w:proofErr w:type="spellEnd"/>
            <w:r w:rsidRPr="004C6ACE">
              <w:rPr>
                <w:rFonts w:ascii="Arial (Hebrew)" w:eastAsia="Times New Roman" w:hAnsi="Arial (Hebrew)" w:cs="Arial (Hebrew)"/>
                <w:color w:val="000000"/>
                <w:sz w:val="24"/>
                <w:szCs w:val="24"/>
                <w:rtl/>
              </w:rPr>
              <w:t xml:space="preserve"> אותה לאישה. ואם בכל זאת נשא אותה, אין </w:t>
            </w:r>
            <w:proofErr w:type="spellStart"/>
            <w:r w:rsidRPr="004C6ACE">
              <w:rPr>
                <w:rFonts w:ascii="Arial (Hebrew)" w:eastAsia="Times New Roman" w:hAnsi="Arial (Hebrew)" w:cs="Arial (Hebrew)"/>
                <w:color w:val="000000"/>
                <w:sz w:val="24"/>
                <w:szCs w:val="24"/>
                <w:rtl/>
              </w:rPr>
              <w:t>כופין</w:t>
            </w:r>
            <w:proofErr w:type="spellEnd"/>
            <w:r w:rsidRPr="004C6ACE">
              <w:rPr>
                <w:rFonts w:ascii="Arial (Hebrew)" w:eastAsia="Times New Roman" w:hAnsi="Arial (Hebrew)" w:cs="Arial (Hebrew)"/>
                <w:color w:val="000000"/>
                <w:sz w:val="24"/>
                <w:szCs w:val="24"/>
                <w:rtl/>
              </w:rPr>
              <w:t xml:space="preserve"> אותו להוציאה.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לעומת זאת, אם אדם נטען שבא על אשת איש ואותה אישה התגרשה עקב כך, ולאחר מכן הבועל התחתן אתה, </w:t>
            </w:r>
            <w:proofErr w:type="spellStart"/>
            <w:r w:rsidRPr="004C6ACE">
              <w:rPr>
                <w:rFonts w:ascii="Arial (Hebrew)" w:eastAsia="Times New Roman" w:hAnsi="Arial (Hebrew)" w:cs="Arial (Hebrew)"/>
                <w:color w:val="000000"/>
                <w:sz w:val="24"/>
                <w:szCs w:val="24"/>
                <w:rtl/>
              </w:rPr>
              <w:t>כופין</w:t>
            </w:r>
            <w:proofErr w:type="spellEnd"/>
            <w:r w:rsidRPr="004C6ACE">
              <w:rPr>
                <w:rFonts w:ascii="Arial (Hebrew)" w:eastAsia="Times New Roman" w:hAnsi="Arial (Hebrew)" w:cs="Arial (Hebrew)"/>
                <w:color w:val="000000"/>
                <w:sz w:val="24"/>
                <w:szCs w:val="24"/>
                <w:rtl/>
              </w:rPr>
              <w:t xml:space="preserve"> אותו להוציאה.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גמרא: הרי גם הגיורת לא </w:t>
            </w:r>
            <w:proofErr w:type="spellStart"/>
            <w:r w:rsidRPr="004C6ACE">
              <w:rPr>
                <w:rFonts w:ascii="Arial (Hebrew)" w:eastAsia="Times New Roman" w:hAnsi="Arial (Hebrew)" w:cs="Arial (Hebrew)"/>
                <w:color w:val="000000"/>
                <w:sz w:val="24"/>
                <w:szCs w:val="24"/>
                <w:rtl/>
              </w:rPr>
              <w:t>נתגיירה</w:t>
            </w:r>
            <w:proofErr w:type="spellEnd"/>
            <w:r w:rsidRPr="004C6ACE">
              <w:rPr>
                <w:rFonts w:ascii="Arial (Hebrew)" w:eastAsia="Times New Roman" w:hAnsi="Arial (Hebrew)" w:cs="Arial (Hebrew)"/>
                <w:color w:val="000000"/>
                <w:sz w:val="24"/>
                <w:szCs w:val="24"/>
                <w:rtl/>
              </w:rPr>
              <w:t xml:space="preserve"> לשם היהדות אלא לשם נישואין!</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ומביאים סתירה לכאורה מברייתא:</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מן הברייתא עולה כי מי שאינו מתגייר "לשמה" גיורו איננו תקף.</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שיטת רבי נחמיה היא שכל מי שהתגייר שלא "לשמה" יצטרך להתגייר שוב בזמן הזה.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שואלת הגמרא: היעלה על הדעת שהגרים בעבר יצטרכו להתגייר שוב, בזמן הזה?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ועונה הגמרא: לא ממש בזמן הזה אלא כמו הזמן הזה (כשישראל בגלות). כלומר שכל גיור יהיה לשמו ולא למטרת שררה.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משיבה הגמרא שכבר נאמר על ברייתא זו כי אין ההלכה כמותה וכי כל הנזכרים ברשימה שבברייתא הם גרים כשרים.</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ממשיכה ומקשה הגמרא: אם כך, גם לכתחילה הגיורת כשרה ולמה אומרת המשנה כי לא יכנוס מלכתחילה?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משיבה הגמרא: על מנת למנוע לזות שפתיים, על פי דברי רב אסי.</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ברייתא: לא יתקבלו גרים בימות המשיח כמו שלא התקבלו גרים לעם ישראל בימי דוד ושלמה.</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MS Gothic" w:eastAsia="MS Gothic" w:hAnsi="MS Gothic" w:cs="MS Gothic"/>
                <w:color w:val="000000"/>
                <w:sz w:val="24"/>
                <w:szCs w:val="24"/>
                <w:rtl/>
              </w:rPr>
              <w:t xml:space="preserve">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רבי אליעזר לומד זאת מן הפסוק בישעיה שרומז על כך כי רק מי שיהיה עם </w:t>
            </w:r>
            <w:proofErr w:type="spellStart"/>
            <w:r w:rsidRPr="004C6ACE">
              <w:rPr>
                <w:rFonts w:ascii="Arial (Hebrew)" w:eastAsia="Times New Roman" w:hAnsi="Arial (Hebrew)" w:cs="Arial (Hebrew)"/>
                <w:color w:val="000000"/>
                <w:sz w:val="24"/>
                <w:szCs w:val="24"/>
                <w:rtl/>
              </w:rPr>
              <w:t>עם</w:t>
            </w:r>
            <w:proofErr w:type="spellEnd"/>
            <w:r w:rsidRPr="004C6ACE">
              <w:rPr>
                <w:rFonts w:ascii="Arial (Hebrew)" w:eastAsia="Times New Roman" w:hAnsi="Arial (Hebrew)" w:cs="Arial (Hebrew)"/>
                <w:color w:val="000000"/>
                <w:sz w:val="24"/>
                <w:szCs w:val="24"/>
                <w:rtl/>
              </w:rPr>
              <w:t xml:space="preserve"> ישראל גם בזמנים קשים הוא יזכה לגאולה, אבל היתר לא יזכו לכך</w:t>
            </w:r>
          </w:p>
        </w:tc>
      </w:tr>
    </w:tbl>
    <w:p w:rsidR="00EB4ABF" w:rsidRDefault="00EB4ABF" w:rsidP="00EB4ABF">
      <w:pPr>
        <w:spacing w:before="100" w:beforeAutospacing="1" w:after="100" w:afterAutospacing="1" w:line="240" w:lineRule="auto"/>
        <w:rPr>
          <w:rFonts w:ascii="Arial (Hebrew)" w:eastAsia="Times New Roman" w:hAnsi="Arial (Hebrew)" w:cs="Arial (Hebrew)"/>
          <w:color w:val="000000"/>
          <w:sz w:val="24"/>
          <w:szCs w:val="24"/>
        </w:rPr>
      </w:pPr>
    </w:p>
    <w:p w:rsidR="00EB4ABF" w:rsidRDefault="00EB4ABF">
      <w:pPr>
        <w:bidi w:val="0"/>
        <w:rPr>
          <w:rFonts w:ascii="Arial (Hebrew)" w:eastAsia="Times New Roman" w:hAnsi="Arial (Hebrew)" w:cs="Arial (Hebrew)"/>
          <w:color w:val="000000"/>
          <w:sz w:val="24"/>
          <w:szCs w:val="24"/>
        </w:rPr>
      </w:pPr>
      <w:r>
        <w:rPr>
          <w:rFonts w:ascii="Arial (Hebrew)" w:eastAsia="Times New Roman" w:hAnsi="Arial (Hebrew)" w:cs="Arial (Hebrew)"/>
          <w:color w:val="000000"/>
          <w:sz w:val="24"/>
          <w:szCs w:val="24"/>
        </w:rPr>
        <w:br w:type="page"/>
      </w:r>
    </w:p>
    <w:p w:rsidR="004C6ACE" w:rsidRPr="004C6ACE" w:rsidRDefault="004C6ACE" w:rsidP="00EB4ABF">
      <w:pPr>
        <w:spacing w:before="100" w:beforeAutospacing="1" w:after="100" w:afterAutospacing="1" w:line="240" w:lineRule="auto"/>
        <w:outlineLvl w:val="2"/>
        <w:rPr>
          <w:rFonts w:ascii="Arial (Hebrew)" w:eastAsia="Times New Roman" w:hAnsi="Arial (Hebrew)" w:cs="Arial (Hebrew)"/>
          <w:b/>
          <w:bCs/>
          <w:color w:val="000000"/>
          <w:sz w:val="27"/>
          <w:szCs w:val="27"/>
        </w:rPr>
      </w:pPr>
      <w:bookmarkStart w:id="1" w:name="A29-32"/>
      <w:r w:rsidRPr="004C6ACE">
        <w:rPr>
          <w:rFonts w:ascii="Arial (Hebrew)" w:eastAsia="Times New Roman" w:hAnsi="Arial (Hebrew)" w:cs="Arial (Hebrew)"/>
          <w:b/>
          <w:bCs/>
          <w:color w:val="000000"/>
          <w:sz w:val="27"/>
          <w:szCs w:val="27"/>
          <w:rtl/>
        </w:rPr>
        <w:lastRenderedPageBreak/>
        <w:t>השוואת גרסאות לסיפור רות מקורות</w:t>
      </w:r>
      <w:bookmarkEnd w:id="1"/>
      <w:r w:rsidRPr="004C6ACE">
        <w:rPr>
          <w:rFonts w:ascii="Arial (Hebrew)" w:eastAsia="Times New Roman" w:hAnsi="Arial (Hebrew)" w:cs="Arial (Hebrew)"/>
          <w:b/>
          <w:bCs/>
          <w:color w:val="000000"/>
          <w:sz w:val="27"/>
          <w:szCs w:val="27"/>
          <w:rtl/>
        </w:rPr>
        <w:t xml:space="preserve"> 11-13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bl>
      <w:tblPr>
        <w:bidiVisual/>
        <w:tblW w:w="0" w:type="auto"/>
        <w:tblBorders>
          <w:top w:val="single" w:sz="6" w:space="0" w:color="6B7ECE"/>
          <w:left w:val="single" w:sz="6" w:space="0" w:color="6B7ECE"/>
          <w:bottom w:val="single" w:sz="6" w:space="0" w:color="6B7ECE"/>
          <w:right w:val="single" w:sz="6" w:space="0" w:color="6B7ECE"/>
          <w:insideH w:val="single" w:sz="6" w:space="0" w:color="6B7ECE"/>
          <w:insideV w:val="single" w:sz="6" w:space="0" w:color="6B7ECE"/>
        </w:tblBorders>
        <w:tblLayout w:type="fixed"/>
        <w:tblLook w:val="04A0" w:firstRow="1" w:lastRow="0" w:firstColumn="1" w:lastColumn="0" w:noHBand="0" w:noVBand="1"/>
      </w:tblPr>
      <w:tblGrid>
        <w:gridCol w:w="2654"/>
        <w:gridCol w:w="2340"/>
        <w:gridCol w:w="2880"/>
      </w:tblGrid>
      <w:tr w:rsidR="004C6ACE" w:rsidRPr="004C6ACE" w:rsidTr="00EB4ABF">
        <w:tc>
          <w:tcPr>
            <w:tcW w:w="2654" w:type="dxa"/>
            <w:tcBorders>
              <w:top w:val="single" w:sz="6" w:space="0" w:color="6B7ECE"/>
              <w:left w:val="single" w:sz="6" w:space="0" w:color="6B7ECE"/>
              <w:bottom w:val="single" w:sz="6" w:space="0" w:color="6B7ECE"/>
              <w:right w:val="single" w:sz="6" w:space="0" w:color="6B7ECE"/>
            </w:tcBorders>
            <w:shd w:val="clear" w:color="auto" w:fill="F2F2F2" w:themeFill="background1" w:themeFillShade="F2"/>
            <w:hideMark/>
          </w:tcPr>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b/>
                <w:bCs/>
                <w:color w:val="000000"/>
                <w:sz w:val="24"/>
                <w:szCs w:val="24"/>
                <w:rtl/>
              </w:rPr>
              <w:t>רות רבה  פרשה ב (מקור 12)</w:t>
            </w:r>
          </w:p>
        </w:tc>
        <w:tc>
          <w:tcPr>
            <w:tcW w:w="2340" w:type="dxa"/>
            <w:tcBorders>
              <w:top w:val="single" w:sz="6" w:space="0" w:color="6B7ECE"/>
              <w:left w:val="single" w:sz="6" w:space="0" w:color="6B7ECE"/>
              <w:bottom w:val="single" w:sz="6" w:space="0" w:color="6B7ECE"/>
              <w:right w:val="single" w:sz="6" w:space="0" w:color="6B7ECE"/>
            </w:tcBorders>
            <w:shd w:val="clear" w:color="auto" w:fill="F2F2F2" w:themeFill="background1" w:themeFillShade="F2"/>
            <w:hideMark/>
          </w:tcPr>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b/>
                <w:bCs/>
                <w:color w:val="000000"/>
                <w:sz w:val="24"/>
                <w:szCs w:val="24"/>
                <w:rtl/>
              </w:rPr>
              <w:t>מגילת רות פרק א (מקור 11)</w:t>
            </w:r>
          </w:p>
        </w:tc>
        <w:tc>
          <w:tcPr>
            <w:tcW w:w="2880" w:type="dxa"/>
            <w:tcBorders>
              <w:top w:val="single" w:sz="6" w:space="0" w:color="6B7ECE"/>
              <w:left w:val="single" w:sz="6" w:space="0" w:color="6B7ECE"/>
              <w:bottom w:val="single" w:sz="6" w:space="0" w:color="6B7ECE"/>
              <w:right w:val="single" w:sz="6" w:space="0" w:color="6B7ECE"/>
            </w:tcBorders>
            <w:shd w:val="clear" w:color="auto" w:fill="F2F2F2" w:themeFill="background1" w:themeFillShade="F2"/>
            <w:hideMark/>
          </w:tcPr>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b/>
                <w:bCs/>
                <w:color w:val="000000"/>
                <w:sz w:val="24"/>
                <w:szCs w:val="24"/>
                <w:rtl/>
              </w:rPr>
              <w:t>בבלי מסכת יבמות מ"ז ע"ב (מקור 13)</w:t>
            </w:r>
            <w:r w:rsidRPr="004C6ACE">
              <w:rPr>
                <w:rFonts w:ascii="Arial (Hebrew)" w:eastAsia="Times New Roman" w:hAnsi="Arial (Hebrew)" w:cs="Arial (Hebrew)"/>
                <w:color w:val="000000"/>
                <w:sz w:val="24"/>
                <w:szCs w:val="24"/>
                <w:rtl/>
              </w:rPr>
              <w:t> </w:t>
            </w:r>
          </w:p>
        </w:tc>
      </w:tr>
      <w:tr w:rsidR="004C6ACE" w:rsidRPr="004C6ACE" w:rsidTr="00EB4ABF">
        <w:tc>
          <w:tcPr>
            <w:tcW w:w="265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 ותאמר רות: "אל תפגעי בי לעזבך לשוב </w:t>
            </w:r>
            <w:proofErr w:type="spellStart"/>
            <w:r w:rsidRPr="004C6ACE">
              <w:rPr>
                <w:rFonts w:ascii="Arial (Hebrew)" w:eastAsia="Times New Roman" w:hAnsi="Arial (Hebrew)" w:cs="Arial (Hebrew)"/>
                <w:color w:val="000000"/>
                <w:sz w:val="24"/>
                <w:szCs w:val="24"/>
                <w:rtl/>
              </w:rPr>
              <w:t>מאחריך</w:t>
            </w:r>
            <w:proofErr w:type="spellEnd"/>
            <w:r w:rsidRPr="004C6ACE">
              <w:rPr>
                <w:rFonts w:ascii="Arial (Hebrew)" w:eastAsia="Times New Roman" w:hAnsi="Arial (Hebrew)" w:cs="Arial (Hebrew)"/>
                <w:color w:val="000000"/>
                <w:sz w:val="24"/>
                <w:szCs w:val="24"/>
                <w:rtl/>
              </w:rPr>
              <w:t xml:space="preserve">", מהו אל תפגעי בי? 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רות</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לא תחטא עלי לא </w:t>
            </w:r>
            <w:proofErr w:type="spellStart"/>
            <w:r w:rsidRPr="004C6ACE">
              <w:rPr>
                <w:rFonts w:ascii="Arial (Hebrew)" w:eastAsia="Times New Roman" w:hAnsi="Arial (Hebrew)" w:cs="Arial (Hebrew)"/>
                <w:color w:val="000000"/>
                <w:sz w:val="24"/>
                <w:szCs w:val="24"/>
                <w:rtl/>
              </w:rPr>
              <w:t>תסבין</w:t>
            </w:r>
            <w:proofErr w:type="spellEnd"/>
            <w:r w:rsidRPr="004C6ACE">
              <w:rPr>
                <w:rFonts w:ascii="Arial (Hebrew)" w:eastAsia="Times New Roman" w:hAnsi="Arial (Hebrew)" w:cs="Arial (Hebrew)"/>
                <w:color w:val="000000"/>
                <w:sz w:val="24"/>
                <w:szCs w:val="24"/>
                <w:rtl/>
              </w:rPr>
              <w:t xml:space="preserve"> פגעיך מני, לעזבך לשוב </w:t>
            </w:r>
            <w:proofErr w:type="spellStart"/>
            <w:r w:rsidRPr="004C6ACE">
              <w:rPr>
                <w:rFonts w:ascii="Arial (Hebrew)" w:eastAsia="Times New Roman" w:hAnsi="Arial (Hebrew)" w:cs="Arial (Hebrew)"/>
                <w:color w:val="000000"/>
                <w:sz w:val="24"/>
                <w:szCs w:val="24"/>
                <w:rtl/>
              </w:rPr>
              <w:t>מאחריך</w:t>
            </w:r>
            <w:proofErr w:type="spellEnd"/>
            <w:r w:rsidRPr="004C6ACE">
              <w:rPr>
                <w:rFonts w:ascii="Arial (Hebrew)" w:eastAsia="Times New Roman" w:hAnsi="Arial (Hebrew)" w:cs="Arial (Hebrew)"/>
                <w:color w:val="000000"/>
                <w:sz w:val="24"/>
                <w:szCs w:val="24"/>
                <w:rtl/>
              </w:rPr>
              <w:t xml:space="preserve">, מכל מקום דעתי להתגייר אלא מוטב על ידך ולא ע"י אחרת.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כיון ששמעה נעמי כך התחילה סודרת לה הלכות גרים,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נעמי</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w:t>
            </w:r>
            <w:r w:rsidRPr="004C6ACE">
              <w:rPr>
                <w:rFonts w:ascii="Arial (Hebrew)" w:eastAsia="Times New Roman" w:hAnsi="Arial (Hebrew)" w:cs="Arial (Hebrew)"/>
                <w:b/>
                <w:bCs/>
                <w:color w:val="000000"/>
                <w:sz w:val="24"/>
                <w:szCs w:val="24"/>
                <w:rtl/>
              </w:rPr>
              <w:t xml:space="preserve">בתי אין דרכן של בנות ישראל לילך לבתי תיאטראות ולבתי </w:t>
            </w:r>
            <w:proofErr w:type="spellStart"/>
            <w:r w:rsidRPr="004C6ACE">
              <w:rPr>
                <w:rFonts w:ascii="Arial (Hebrew)" w:eastAsia="Times New Roman" w:hAnsi="Arial (Hebrew)" w:cs="Arial (Hebrew)"/>
                <w:b/>
                <w:bCs/>
                <w:color w:val="000000"/>
                <w:sz w:val="24"/>
                <w:szCs w:val="24"/>
                <w:rtl/>
              </w:rPr>
              <w:t>קרקסיאות</w:t>
            </w:r>
            <w:proofErr w:type="spellEnd"/>
            <w:r w:rsidRPr="004C6ACE">
              <w:rPr>
                <w:rFonts w:ascii="Arial (Hebrew)" w:eastAsia="Times New Roman" w:hAnsi="Arial (Hebrew)" w:cs="Arial (Hebrew)"/>
                <w:b/>
                <w:bCs/>
                <w:color w:val="000000"/>
                <w:sz w:val="24"/>
                <w:szCs w:val="24"/>
                <w:rtl/>
              </w:rPr>
              <w:t xml:space="preserve"> של  עכו"ם</w:t>
            </w:r>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רות</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"אל אשר תלכי אלך",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נעמי</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w:t>
            </w:r>
            <w:r w:rsidRPr="004C6ACE">
              <w:rPr>
                <w:rFonts w:ascii="Arial (Hebrew)" w:eastAsia="Times New Roman" w:hAnsi="Arial (Hebrew)" w:cs="Arial (Hebrew)"/>
                <w:b/>
                <w:bCs/>
                <w:color w:val="000000"/>
                <w:sz w:val="24"/>
                <w:szCs w:val="24"/>
                <w:rtl/>
              </w:rPr>
              <w:t>בתי אין דרכן של ישראל לדור בבית שאין שם מזוזה,</w:t>
            </w:r>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רות</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"באשר תליני אלין",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"עמך עמי",</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i/>
                <w:iCs/>
                <w:color w:val="000000"/>
                <w:sz w:val="24"/>
                <w:szCs w:val="24"/>
                <w:rtl/>
              </w:rPr>
              <w:t xml:space="preserve">  </w:t>
            </w:r>
            <w:r w:rsidR="004C6ACE" w:rsidRPr="004C6ACE">
              <w:rPr>
                <w:rFonts w:ascii="Arial (Hebrew)" w:eastAsia="Times New Roman" w:hAnsi="Arial (Hebrew)" w:cs="Arial (Hebrew)"/>
                <w:b/>
                <w:bCs/>
                <w:color w:val="000000"/>
                <w:sz w:val="24"/>
                <w:szCs w:val="24"/>
                <w:rtl/>
              </w:rPr>
              <w:t>אלו עונשין ואזהרות,</w:t>
            </w:r>
            <w:r w:rsidR="004C6ACE" w:rsidRPr="004C6ACE">
              <w:rPr>
                <w:rFonts w:ascii="Arial (Hebrew)" w:eastAsia="Times New Roman" w:hAnsi="Arial (Hebrew)" w:cs="Arial (Hebrew)"/>
                <w:i/>
                <w:iCs/>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ואלהיך</w:t>
            </w:r>
            <w:proofErr w:type="spellEnd"/>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אלהי</w:t>
            </w:r>
            <w:proofErr w:type="spellEnd"/>
            <w:r w:rsidR="004C6ACE" w:rsidRPr="004C6ACE">
              <w:rPr>
                <w:rFonts w:ascii="Arial (Hebrew)" w:eastAsia="Times New Roman" w:hAnsi="Arial (Hebrew)" w:cs="Arial (Hebrew)"/>
                <w:color w:val="000000"/>
                <w:sz w:val="24"/>
                <w:szCs w:val="24"/>
                <w:rtl/>
              </w:rPr>
              <w:t>",</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r w:rsidR="004C6ACE" w:rsidRPr="004C6ACE">
              <w:rPr>
                <w:rFonts w:ascii="Arial (Hebrew)" w:eastAsia="Times New Roman" w:hAnsi="Arial (Hebrew)" w:cs="Arial (Hebrew)"/>
                <w:b/>
                <w:bCs/>
                <w:color w:val="000000"/>
                <w:sz w:val="24"/>
                <w:szCs w:val="24"/>
                <w:rtl/>
              </w:rPr>
              <w:t>שאר מצות.</w:t>
            </w:r>
          </w:p>
        </w:tc>
        <w:tc>
          <w:tcPr>
            <w:tcW w:w="234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 ותאמר רות אל תפגעי בי לעזבך לשוב </w:t>
            </w:r>
            <w:proofErr w:type="spellStart"/>
            <w:r w:rsidRPr="004C6ACE">
              <w:rPr>
                <w:rFonts w:ascii="Arial (Hebrew)" w:eastAsia="Times New Roman" w:hAnsi="Arial (Hebrew)" w:cs="Arial (Hebrew)"/>
                <w:color w:val="000000"/>
                <w:sz w:val="24"/>
                <w:szCs w:val="24"/>
                <w:rtl/>
              </w:rPr>
              <w:t>מאחריך</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כי אל אשר תלכי אלך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ובאשר תליני אלין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עמך עמי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ואלוהיך אלוהי:</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hint="cs"/>
                <w:color w:val="000000"/>
                <w:sz w:val="24"/>
                <w:szCs w:val="24"/>
                <w:rtl/>
              </w:rPr>
              <w:t>(</w:t>
            </w:r>
            <w:proofErr w:type="spellStart"/>
            <w:r w:rsidR="004C6ACE" w:rsidRPr="004C6ACE">
              <w:rPr>
                <w:rFonts w:ascii="Arial (Hebrew)" w:eastAsia="Times New Roman" w:hAnsi="Arial (Hebrew)" w:cs="Arial (Hebrew)"/>
                <w:color w:val="000000"/>
                <w:sz w:val="24"/>
                <w:szCs w:val="24"/>
                <w:rtl/>
              </w:rPr>
              <w:t>יז</w:t>
            </w:r>
            <w:proofErr w:type="spellEnd"/>
            <w:r>
              <w:rPr>
                <w:rFonts w:ascii="Arial (Hebrew)" w:eastAsia="Times New Roman" w:hAnsi="Arial (Hebrew)" w:cs="Arial (Hebrew)" w:hint="cs"/>
                <w:color w:val="000000"/>
                <w:sz w:val="24"/>
                <w:szCs w:val="24"/>
                <w:rtl/>
              </w:rPr>
              <w:t>)</w:t>
            </w:r>
            <w:r w:rsidR="004C6ACE" w:rsidRPr="004C6ACE">
              <w:rPr>
                <w:rFonts w:ascii="Arial (Hebrew)" w:eastAsia="Times New Roman" w:hAnsi="Arial (Hebrew)" w:cs="Arial (Hebrew)"/>
                <w:color w:val="000000"/>
                <w:sz w:val="24"/>
                <w:szCs w:val="24"/>
                <w:rtl/>
              </w:rPr>
              <w:t xml:space="preserve"> באשר תמותי אמות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ושם אקבר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כה יעשה ה' לי וכה יוסיף כי </w:t>
            </w:r>
            <w:proofErr w:type="spellStart"/>
            <w:r w:rsidRPr="004C6ACE">
              <w:rPr>
                <w:rFonts w:ascii="Arial (Hebrew)" w:eastAsia="Times New Roman" w:hAnsi="Arial (Hebrew)" w:cs="Arial (Hebrew)"/>
                <w:color w:val="000000"/>
                <w:sz w:val="24"/>
                <w:szCs w:val="24"/>
                <w:rtl/>
              </w:rPr>
              <w:t>המות</w:t>
            </w:r>
            <w:proofErr w:type="spellEnd"/>
            <w:r w:rsidRPr="004C6ACE">
              <w:rPr>
                <w:rFonts w:ascii="Arial (Hebrew)" w:eastAsia="Times New Roman" w:hAnsi="Arial (Hebrew)" w:cs="Arial (Hebrew)"/>
                <w:color w:val="000000"/>
                <w:sz w:val="24"/>
                <w:szCs w:val="24"/>
                <w:rtl/>
              </w:rPr>
              <w:t xml:space="preserve"> יפריד ביני ובינך:</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hint="cs"/>
                <w:color w:val="000000"/>
                <w:sz w:val="24"/>
                <w:szCs w:val="24"/>
                <w:rtl/>
              </w:rPr>
              <w:t>0</w:t>
            </w:r>
            <w:r w:rsidR="004C6ACE" w:rsidRPr="004C6ACE">
              <w:rPr>
                <w:rFonts w:ascii="Arial (Hebrew)" w:eastAsia="Times New Roman" w:hAnsi="Arial (Hebrew)" w:cs="Arial (Hebrew)"/>
                <w:color w:val="000000"/>
                <w:sz w:val="24"/>
                <w:szCs w:val="24"/>
                <w:rtl/>
              </w:rPr>
              <w:t>יח</w:t>
            </w:r>
            <w:r>
              <w:rPr>
                <w:rFonts w:ascii="Arial (Hebrew)" w:eastAsia="Times New Roman" w:hAnsi="Arial (Hebrew)" w:cs="Arial (Hebrew)" w:hint="cs"/>
                <w:color w:val="000000"/>
                <w:sz w:val="24"/>
                <w:szCs w:val="24"/>
                <w:rtl/>
              </w:rPr>
              <w:t>)</w:t>
            </w:r>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ותרא</w:t>
            </w:r>
            <w:proofErr w:type="spellEnd"/>
            <w:r w:rsidR="004C6ACE" w:rsidRPr="004C6ACE">
              <w:rPr>
                <w:rFonts w:ascii="Arial (Hebrew)" w:eastAsia="Times New Roman" w:hAnsi="Arial (Hebrew)" w:cs="Arial (Hebrew)"/>
                <w:color w:val="000000"/>
                <w:sz w:val="24"/>
                <w:szCs w:val="24"/>
                <w:rtl/>
              </w:rPr>
              <w:t xml:space="preserve"> כי מתאמצת היא ללכת אתה ותחדל לדבר אליה: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c>
          <w:tcPr>
            <w:tcW w:w="288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רבי אלעזר: מאי קראה? </w:t>
            </w:r>
            <w:proofErr w:type="spellStart"/>
            <w:r w:rsidRPr="004C6ACE">
              <w:rPr>
                <w:rFonts w:ascii="Arial (Hebrew)" w:eastAsia="Times New Roman" w:hAnsi="Arial (Hebrew)" w:cs="Arial (Hebrew)"/>
                <w:color w:val="000000"/>
                <w:sz w:val="24"/>
                <w:szCs w:val="24"/>
                <w:rtl/>
              </w:rPr>
              <w:t>דכתיב</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ותרא</w:t>
            </w:r>
            <w:proofErr w:type="spellEnd"/>
            <w:r w:rsidRPr="004C6ACE">
              <w:rPr>
                <w:rFonts w:ascii="Arial (Hebrew)" w:eastAsia="Times New Roman" w:hAnsi="Arial (Hebrew)" w:cs="Arial (Hebrew)"/>
                <w:color w:val="000000"/>
                <w:sz w:val="24"/>
                <w:szCs w:val="24"/>
                <w:rtl/>
              </w:rPr>
              <w:t xml:space="preserve"> כי מתאמצת היא ללכת אתה ותחדל לדבר אליה,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אמרה לה </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נעמי</w:t>
            </w:r>
            <w:r w:rsidR="00EB4ABF">
              <w:rPr>
                <w:rFonts w:ascii="Arial (Hebrew)" w:eastAsia="Times New Roman" w:hAnsi="Arial (Hebrew)" w:cs="Arial (Hebrew)"/>
                <w:color w:val="000000"/>
                <w:sz w:val="24"/>
                <w:szCs w:val="24"/>
                <w:rtl/>
              </w:rPr>
              <w:t>)</w:t>
            </w:r>
            <w:r w:rsidRPr="004C6ACE">
              <w:rPr>
                <w:rFonts w:ascii="Arial (Hebrew)" w:eastAsia="Times New Roman" w:hAnsi="Arial (Hebrew)" w:cs="Arial (Hebrew)"/>
                <w:color w:val="000000"/>
                <w:sz w:val="24"/>
                <w:szCs w:val="24"/>
                <w:rtl/>
              </w:rPr>
              <w:t xml:space="preserve">: </w:t>
            </w:r>
            <w:r w:rsidRPr="004C6ACE">
              <w:rPr>
                <w:rFonts w:ascii="Arial (Hebrew)" w:eastAsia="Times New Roman" w:hAnsi="Arial (Hebrew)" w:cs="Arial (Hebrew)"/>
                <w:b/>
                <w:bCs/>
                <w:color w:val="000000"/>
                <w:sz w:val="24"/>
                <w:szCs w:val="24"/>
                <w:rtl/>
              </w:rPr>
              <w:t>אסיר לן תחום 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"באשר תלכי אלך".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r w:rsidR="004C6ACE" w:rsidRPr="004C6ACE">
              <w:rPr>
                <w:rFonts w:ascii="Arial (Hebrew)" w:eastAsia="Times New Roman" w:hAnsi="Arial (Hebrew)" w:cs="Arial (Hebrew)"/>
                <w:b/>
                <w:bCs/>
                <w:color w:val="000000"/>
                <w:sz w:val="24"/>
                <w:szCs w:val="24"/>
                <w:rtl/>
              </w:rPr>
              <w:t>אסיר לן יחוד!</w:t>
            </w:r>
            <w:r w:rsidR="004C6ACE" w:rsidRPr="004C6ACE">
              <w:rPr>
                <w:rFonts w:ascii="Arial (Hebrew)" w:eastAsia="Times New Roman" w:hAnsi="Arial (Hebrew)" w:cs="Arial (Hebrew)"/>
                <w:i/>
                <w:iCs/>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"באשר תליני אלין"</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מפקדינן</w:t>
            </w:r>
            <w:proofErr w:type="spellEnd"/>
            <w:r w:rsidR="004C6ACE" w:rsidRPr="004C6ACE">
              <w:rPr>
                <w:rFonts w:ascii="Arial (Hebrew)" w:eastAsia="Times New Roman" w:hAnsi="Arial (Hebrew)" w:cs="Arial (Hebrew)"/>
                <w:color w:val="000000"/>
                <w:sz w:val="24"/>
                <w:szCs w:val="24"/>
                <w:rtl/>
              </w:rPr>
              <w:t xml:space="preserve"> שש מאות וי"ג מצות!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"עמך עמי"</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b/>
                <w:bCs/>
                <w:color w:val="000000"/>
                <w:sz w:val="24"/>
                <w:szCs w:val="24"/>
                <w:rtl/>
              </w:rPr>
              <w:t xml:space="preserve"> אסיר לן עבודת כוכבים!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ואלהיך</w:t>
            </w:r>
            <w:proofErr w:type="spellEnd"/>
            <w:r w:rsidR="004C6ACE" w:rsidRPr="004C6ACE">
              <w:rPr>
                <w:rFonts w:ascii="Arial (Hebrew)" w:eastAsia="Times New Roman" w:hAnsi="Arial (Hebrew)" w:cs="Arial (Hebrew)"/>
                <w:color w:val="000000"/>
                <w:sz w:val="24"/>
                <w:szCs w:val="24"/>
                <w:rtl/>
              </w:rPr>
              <w:t xml:space="preserve"> </w:t>
            </w:r>
            <w:proofErr w:type="spellStart"/>
            <w:r w:rsidR="004C6ACE" w:rsidRPr="004C6ACE">
              <w:rPr>
                <w:rFonts w:ascii="Arial (Hebrew)" w:eastAsia="Times New Roman" w:hAnsi="Arial (Hebrew)" w:cs="Arial (Hebrew)"/>
                <w:color w:val="000000"/>
                <w:sz w:val="24"/>
                <w:szCs w:val="24"/>
                <w:rtl/>
              </w:rPr>
              <w:t>אלהי</w:t>
            </w:r>
            <w:proofErr w:type="spellEnd"/>
            <w:r w:rsidR="004C6ACE" w:rsidRPr="004C6ACE">
              <w:rPr>
                <w:rFonts w:ascii="Arial (Hebrew)" w:eastAsia="Times New Roman" w:hAnsi="Arial (Hebrew)" w:cs="Arial (Hebrew)"/>
                <w:color w:val="000000"/>
                <w:sz w:val="24"/>
                <w:szCs w:val="24"/>
                <w:rtl/>
              </w:rPr>
              <w:t>"</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r w:rsidR="004C6ACE" w:rsidRPr="004C6ACE">
              <w:rPr>
                <w:rFonts w:ascii="Arial (Hebrew)" w:eastAsia="Times New Roman" w:hAnsi="Arial (Hebrew)" w:cs="Arial (Hebrew)"/>
                <w:b/>
                <w:bCs/>
                <w:color w:val="000000"/>
                <w:sz w:val="24"/>
                <w:szCs w:val="24"/>
                <w:rtl/>
              </w:rPr>
              <w:t xml:space="preserve">ארבע מיתות נמסרו </w:t>
            </w:r>
            <w:proofErr w:type="spellStart"/>
            <w:r w:rsidR="004C6ACE" w:rsidRPr="004C6ACE">
              <w:rPr>
                <w:rFonts w:ascii="Arial (Hebrew)" w:eastAsia="Times New Roman" w:hAnsi="Arial (Hebrew)" w:cs="Arial (Hebrew)"/>
                <w:b/>
                <w:bCs/>
                <w:color w:val="000000"/>
                <w:sz w:val="24"/>
                <w:szCs w:val="24"/>
                <w:rtl/>
              </w:rPr>
              <w:t>לב"ד</w:t>
            </w:r>
            <w:proofErr w:type="spellEnd"/>
            <w:r w:rsidR="004C6ACE" w:rsidRPr="004C6ACE">
              <w:rPr>
                <w:rFonts w:ascii="Arial (Hebrew)" w:eastAsia="Times New Roman" w:hAnsi="Arial (Hebrew)" w:cs="Arial (Hebrew)"/>
                <w:b/>
                <w:bCs/>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"באשר תמותי אמות"</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נעמי</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w:t>
            </w:r>
            <w:r w:rsidR="004C6ACE" w:rsidRPr="004C6ACE">
              <w:rPr>
                <w:rFonts w:ascii="Arial (Hebrew)" w:eastAsia="Times New Roman" w:hAnsi="Arial (Hebrew)" w:cs="Arial (Hebrew)"/>
                <w:b/>
                <w:bCs/>
                <w:color w:val="000000"/>
                <w:sz w:val="24"/>
                <w:szCs w:val="24"/>
                <w:rtl/>
              </w:rPr>
              <w:t xml:space="preserve">ב' קברים נמסרו </w:t>
            </w:r>
            <w:proofErr w:type="spellStart"/>
            <w:r w:rsidR="004C6ACE" w:rsidRPr="004C6ACE">
              <w:rPr>
                <w:rFonts w:ascii="Arial (Hebrew)" w:eastAsia="Times New Roman" w:hAnsi="Arial (Hebrew)" w:cs="Arial (Hebrew)"/>
                <w:b/>
                <w:bCs/>
                <w:color w:val="000000"/>
                <w:sz w:val="24"/>
                <w:szCs w:val="24"/>
                <w:rtl/>
              </w:rPr>
              <w:t>לב"ד</w:t>
            </w:r>
            <w:proofErr w:type="spellEnd"/>
            <w:r w:rsidR="004C6ACE" w:rsidRPr="004C6ACE">
              <w:rPr>
                <w:rFonts w:ascii="Arial (Hebrew)" w:eastAsia="Times New Roman" w:hAnsi="Arial (Hebrew)" w:cs="Arial (Hebrew)"/>
                <w:b/>
                <w:bCs/>
                <w:color w:val="000000"/>
                <w:sz w:val="24"/>
                <w:szCs w:val="24"/>
                <w:rtl/>
              </w:rPr>
              <w:t xml:space="preserve">! </w:t>
            </w:r>
          </w:p>
          <w:p w:rsidR="004C6ACE" w:rsidRPr="004C6ACE" w:rsidRDefault="00EB4ABF" w:rsidP="00EB4ABF">
            <w:pPr>
              <w:spacing w:after="0" w:line="240" w:lineRule="auto"/>
              <w:rPr>
                <w:rFonts w:ascii="Arial (Hebrew)" w:eastAsia="Times New Roman" w:hAnsi="Arial (Hebrew)" w:cs="Arial (Hebrew)"/>
                <w:color w:val="000000"/>
                <w:sz w:val="24"/>
                <w:szCs w:val="24"/>
                <w:rtl/>
              </w:rPr>
            </w:pP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רות</w:t>
            </w:r>
            <w:r>
              <w:rPr>
                <w:rFonts w:ascii="Arial (Hebrew)" w:eastAsia="Times New Roman" w:hAnsi="Arial (Hebrew)" w:cs="Arial (Hebrew)"/>
                <w:color w:val="000000"/>
                <w:sz w:val="24"/>
                <w:szCs w:val="24"/>
                <w:rtl/>
              </w:rPr>
              <w:t>)</w:t>
            </w:r>
            <w:r w:rsidR="004C6ACE" w:rsidRPr="004C6ACE">
              <w:rPr>
                <w:rFonts w:ascii="Arial (Hebrew)" w:eastAsia="Times New Roman" w:hAnsi="Arial (Hebrew)" w:cs="Arial (Hebrew)"/>
                <w:color w:val="000000"/>
                <w:sz w:val="24"/>
                <w:szCs w:val="24"/>
                <w:rtl/>
              </w:rPr>
              <w:t xml:space="preserve"> "ושם אקבר"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מיד,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ותרא</w:t>
            </w:r>
            <w:proofErr w:type="spellEnd"/>
            <w:r w:rsidRPr="004C6ACE">
              <w:rPr>
                <w:rFonts w:ascii="Arial (Hebrew)" w:eastAsia="Times New Roman" w:hAnsi="Arial (Hebrew)" w:cs="Arial (Hebrew)"/>
                <w:color w:val="000000"/>
                <w:sz w:val="24"/>
                <w:szCs w:val="24"/>
                <w:rtl/>
              </w:rPr>
              <w:t xml:space="preserve"> כי מתאמצת היא וגו'.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קיבל, מלין אותו מיד. מאי טעמא? </w:t>
            </w:r>
            <w:proofErr w:type="spellStart"/>
            <w:r w:rsidRPr="004C6ACE">
              <w:rPr>
                <w:rFonts w:ascii="Arial (Hebrew)" w:eastAsia="Times New Roman" w:hAnsi="Arial (Hebrew)" w:cs="Arial (Hebrew)"/>
                <w:color w:val="000000"/>
                <w:sz w:val="24"/>
                <w:szCs w:val="24"/>
                <w:rtl/>
              </w:rPr>
              <w:t>שהויי</w:t>
            </w:r>
            <w:proofErr w:type="spellEnd"/>
            <w:r w:rsidRPr="004C6ACE">
              <w:rPr>
                <w:rFonts w:ascii="Arial (Hebrew)" w:eastAsia="Times New Roman" w:hAnsi="Arial (Hebrew)" w:cs="Arial (Hebrew)"/>
                <w:color w:val="000000"/>
                <w:sz w:val="24"/>
                <w:szCs w:val="24"/>
                <w:rtl/>
              </w:rPr>
              <w:t xml:space="preserve"> מצוה לא </w:t>
            </w:r>
            <w:proofErr w:type="spellStart"/>
            <w:r w:rsidRPr="004C6ACE">
              <w:rPr>
                <w:rFonts w:ascii="Arial (Hebrew)" w:eastAsia="Times New Roman" w:hAnsi="Arial (Hebrew)" w:cs="Arial (Hebrew)"/>
                <w:color w:val="000000"/>
                <w:sz w:val="24"/>
                <w:szCs w:val="24"/>
                <w:rtl/>
              </w:rPr>
              <w:t>משהינן</w:t>
            </w:r>
            <w:proofErr w:type="spellEnd"/>
            <w:r w:rsidRPr="004C6ACE">
              <w:rPr>
                <w:rFonts w:ascii="Arial (Hebrew)" w:eastAsia="Times New Roman" w:hAnsi="Arial (Hebrew)" w:cs="Arial (Hebrew)"/>
                <w:color w:val="000000"/>
                <w:sz w:val="24"/>
                <w:szCs w:val="24"/>
                <w:rtl/>
              </w:rPr>
              <w:t>.</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r>
    </w:tbl>
    <w:p w:rsidR="004C6ACE" w:rsidRPr="004C6ACE" w:rsidRDefault="004C6ACE" w:rsidP="00EB4ABF">
      <w:pPr>
        <w:spacing w:before="100" w:beforeAutospacing="1" w:after="100" w:afterAutospacing="1"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Pr>
        <w:t> </w:t>
      </w:r>
    </w:p>
    <w:p w:rsidR="00EB4ABF" w:rsidRDefault="00EB4ABF">
      <w:pPr>
        <w:bidi w:val="0"/>
        <w:rPr>
          <w:rFonts w:ascii="Arial (Hebrew)" w:eastAsia="Times New Roman" w:hAnsi="Arial (Hebrew)" w:cs="Arial (Hebrew)"/>
          <w:b/>
          <w:bCs/>
          <w:color w:val="000000"/>
          <w:sz w:val="24"/>
          <w:szCs w:val="24"/>
          <w:rtl/>
        </w:rPr>
      </w:pPr>
      <w:r>
        <w:rPr>
          <w:rFonts w:ascii="Arial (Hebrew)" w:eastAsia="Times New Roman" w:hAnsi="Arial (Hebrew)" w:cs="Arial (Hebrew)"/>
          <w:b/>
          <w:bCs/>
          <w:color w:val="000000"/>
          <w:sz w:val="24"/>
          <w:szCs w:val="24"/>
          <w:rtl/>
        </w:rPr>
        <w:br w:type="page"/>
      </w:r>
    </w:p>
    <w:p w:rsidR="004C6ACE" w:rsidRPr="004C6ACE" w:rsidRDefault="004C6ACE" w:rsidP="00EB4ABF">
      <w:pPr>
        <w:spacing w:after="0" w:line="240" w:lineRule="auto"/>
        <w:jc w:val="both"/>
        <w:rPr>
          <w:rFonts w:ascii="Arial (Hebrew)" w:eastAsia="Times New Roman" w:hAnsi="Arial (Hebrew)" w:cs="Arial (Hebrew)"/>
          <w:color w:val="000000"/>
          <w:sz w:val="24"/>
          <w:szCs w:val="24"/>
        </w:rPr>
      </w:pPr>
      <w:r w:rsidRPr="004C6ACE">
        <w:rPr>
          <w:rFonts w:ascii="Arial (Hebrew)" w:eastAsia="Times New Roman" w:hAnsi="Arial (Hebrew)" w:cs="Arial (Hebrew)"/>
          <w:b/>
          <w:bCs/>
          <w:color w:val="000000"/>
          <w:sz w:val="24"/>
          <w:szCs w:val="24"/>
          <w:rtl/>
        </w:rPr>
        <w:lastRenderedPageBreak/>
        <w:t xml:space="preserve">מקור 16- תלמוד בבלי מסכת יבמות דף מו עמודים א-ב דף </w:t>
      </w:r>
      <w:proofErr w:type="spellStart"/>
      <w:r w:rsidRPr="004C6ACE">
        <w:rPr>
          <w:rFonts w:ascii="Arial (Hebrew)" w:eastAsia="Times New Roman" w:hAnsi="Arial (Hebrew)" w:cs="Arial (Hebrew)"/>
          <w:b/>
          <w:bCs/>
          <w:color w:val="000000"/>
          <w:sz w:val="24"/>
          <w:szCs w:val="24"/>
          <w:rtl/>
        </w:rPr>
        <w:t>מז</w:t>
      </w:r>
      <w:proofErr w:type="spellEnd"/>
      <w:r w:rsidRPr="004C6ACE">
        <w:rPr>
          <w:rFonts w:ascii="Arial (Hebrew)" w:eastAsia="Times New Roman" w:hAnsi="Arial (Hebrew)" w:cs="Arial (Hebrew)"/>
          <w:b/>
          <w:bCs/>
          <w:color w:val="000000"/>
          <w:sz w:val="24"/>
          <w:szCs w:val="24"/>
          <w:rtl/>
        </w:rPr>
        <w:t xml:space="preserve"> עמוד א</w:t>
      </w:r>
    </w:p>
    <w:p w:rsidR="004C6ACE" w:rsidRPr="004C6ACE" w:rsidRDefault="004C6ACE" w:rsidP="00EB4ABF">
      <w:pPr>
        <w:spacing w:after="0" w:line="240" w:lineRule="auto"/>
        <w:jc w:val="both"/>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bl>
      <w:tblPr>
        <w:bidiVisual/>
        <w:tblW w:w="0" w:type="auto"/>
        <w:tblBorders>
          <w:top w:val="single" w:sz="6" w:space="0" w:color="6B7ECE"/>
          <w:left w:val="single" w:sz="6" w:space="0" w:color="6B7ECE"/>
          <w:bottom w:val="single" w:sz="6" w:space="0" w:color="6B7ECE"/>
          <w:right w:val="single" w:sz="6" w:space="0" w:color="6B7ECE"/>
          <w:insideH w:val="single" w:sz="6" w:space="0" w:color="6B7ECE"/>
          <w:insideV w:val="single" w:sz="6" w:space="0" w:color="6B7ECE"/>
        </w:tblBorders>
        <w:tblLayout w:type="fixed"/>
        <w:tblLook w:val="04A0" w:firstRow="1" w:lastRow="0" w:firstColumn="1" w:lastColumn="0" w:noHBand="0" w:noVBand="1"/>
      </w:tblPr>
      <w:tblGrid>
        <w:gridCol w:w="4094"/>
        <w:gridCol w:w="3960"/>
      </w:tblGrid>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תנו רבנן: גר שמל ולא טבל –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רבי אליעזר אומר: הרי זה גר, שכן מצינו באבותינו, שמלו ולא טבלו;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טבל ולא מל - ר' יהושע אומר: הרי זה גר, שכן מצינו </w:t>
            </w:r>
            <w:proofErr w:type="spellStart"/>
            <w:r w:rsidRPr="004C6ACE">
              <w:rPr>
                <w:rFonts w:ascii="Arial (Hebrew)" w:eastAsia="Times New Roman" w:hAnsi="Arial (Hebrew)" w:cs="Arial (Hebrew)"/>
                <w:color w:val="000000"/>
                <w:sz w:val="24"/>
                <w:szCs w:val="24"/>
                <w:rtl/>
              </w:rPr>
              <w:t>באמהות</w:t>
            </w:r>
            <w:proofErr w:type="spellEnd"/>
            <w:r w:rsidRPr="004C6ACE">
              <w:rPr>
                <w:rFonts w:ascii="Arial (Hebrew)" w:eastAsia="Times New Roman" w:hAnsi="Arial (Hebrew)" w:cs="Arial (Hebrew)"/>
                <w:color w:val="000000"/>
                <w:sz w:val="24"/>
                <w:szCs w:val="24"/>
                <w:rtl/>
              </w:rPr>
              <w:t xml:space="preserve">, שטבלו ולא מלו;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וחכמים אומרים: טבל ולא מל, מל ולא טבל - אין גר, עד שימול ויטבול. </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למדו חכמנו (בברייתא):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לדעת רבי אליעזר -גר שמל אך לא טבל – הוא גר שכן גם אבותינו מלו ולא טבלו</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לדעת רבי יהושע – גר שטבל אך לא מל – הוא גר שכן גם </w:t>
            </w:r>
            <w:proofErr w:type="spellStart"/>
            <w:r w:rsidRPr="004C6ACE">
              <w:rPr>
                <w:rFonts w:ascii="Arial (Hebrew)" w:eastAsia="Times New Roman" w:hAnsi="Arial (Hebrew)" w:cs="Arial (Hebrew)"/>
                <w:color w:val="000000"/>
                <w:sz w:val="24"/>
                <w:szCs w:val="24"/>
                <w:rtl/>
              </w:rPr>
              <w:t>האמהות</w:t>
            </w:r>
            <w:proofErr w:type="spellEnd"/>
            <w:r w:rsidRPr="004C6ACE">
              <w:rPr>
                <w:rFonts w:ascii="Arial (Hebrew)" w:eastAsia="Times New Roman" w:hAnsi="Arial (Hebrew)" w:cs="Arial (Hebrew)"/>
                <w:color w:val="000000"/>
                <w:sz w:val="24"/>
                <w:szCs w:val="24"/>
                <w:rtl/>
              </w:rPr>
              <w:t xml:space="preserve"> טבלו ולא מלו</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לדעת חכמים – צריך גם טבילה וגם מילה כדי להיות גר (בניגוד לדעת ר' אליעזר ור' יהושע)</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א"ר</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w:t>
            </w:r>
            <w:proofErr w:type="spellStart"/>
            <w:r w:rsidRPr="004C6ACE">
              <w:rPr>
                <w:rFonts w:ascii="Arial (Hebrew)" w:eastAsia="Times New Roman" w:hAnsi="Arial (Hebrew)" w:cs="Arial (Hebrew)"/>
                <w:color w:val="000000"/>
                <w:sz w:val="24"/>
                <w:szCs w:val="24"/>
                <w:rtl/>
              </w:rPr>
              <w:t>א"ר</w:t>
            </w:r>
            <w:proofErr w:type="spellEnd"/>
            <w:r w:rsidRPr="004C6ACE">
              <w:rPr>
                <w:rFonts w:ascii="Arial (Hebrew)" w:eastAsia="Times New Roman" w:hAnsi="Arial (Hebrew)" w:cs="Arial (Hebrew)"/>
                <w:color w:val="000000"/>
                <w:sz w:val="24"/>
                <w:szCs w:val="24"/>
                <w:rtl/>
              </w:rPr>
              <w:t xml:space="preserve"> יוחנן: לעולם אינו גר עד שימול ויטבול.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פשיטא, יחיד ורבים הלכה כרבים!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מאן חכמים?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רבי יוסי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דתניא</w:t>
            </w:r>
            <w:proofErr w:type="spellEnd"/>
            <w:r w:rsidRPr="004C6ACE">
              <w:rPr>
                <w:rFonts w:ascii="Arial (Hebrew)" w:eastAsia="Times New Roman" w:hAnsi="Arial (Hebrew)" w:cs="Arial (Hebrew)"/>
                <w:color w:val="000000"/>
                <w:sz w:val="24"/>
                <w:szCs w:val="24"/>
                <w:rtl/>
              </w:rPr>
              <w:t xml:space="preserve">: הרי שבא ואמר מלתי ולא טבלתי -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אותו ומה בכך, דברי ר' יהודה,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רבי יוסי אומר: אין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לפיכך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גר בשבת, דברי ר' יהודה,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ור' יוסי אומר: אין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בשם רבי יוחנן: אדם איננו יכול להיות גר עד שלא ימול וגם יטבול.</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מעירה הגמרא: הרי זה פשוט (מובן מאליו!) הרי במקרה של מחלוקת בין יחיד ורבים ההלכה היא כרבים. ובמקרה זה בברייתא שלמעלה קיימת מחלוקת כזאת.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שואלת הגמרא: מי הם אותם חכמים שעל פיהם נקבעה ההלכה כאן? ומשיבה: זוהי שיטת רבי יוסי.</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לחיזוק הנחה זו מביאה הגמרא ברייתא שבה מחלוקת בין רבי יוסי לרבי יהודה בנושא דומה.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שלמדנו (בברייתא): אם בא גר ואמר "מלתי ולא טבלתי" אומר רבי יהודה: הרי שמטבילים אותו, וההתגיירות תקפה. ומה בכך (ומה אכפת לנו) אם המילה שלו </w:t>
            </w:r>
            <w:proofErr w:type="spellStart"/>
            <w:r w:rsidRPr="004C6ACE">
              <w:rPr>
                <w:rFonts w:ascii="Arial (Hebrew)" w:eastAsia="Times New Roman" w:hAnsi="Arial (Hebrew)" w:cs="Arial (Hebrew)"/>
                <w:color w:val="000000"/>
                <w:sz w:val="24"/>
                <w:szCs w:val="24"/>
                <w:rtl/>
              </w:rPr>
              <w:t>היתה</w:t>
            </w:r>
            <w:proofErr w:type="spellEnd"/>
            <w:r w:rsidRPr="004C6ACE">
              <w:rPr>
                <w:rFonts w:ascii="Arial (Hebrew)" w:eastAsia="Times New Roman" w:hAnsi="Arial (Hebrew)" w:cs="Arial (Hebrew)"/>
                <w:color w:val="000000"/>
                <w:sz w:val="24"/>
                <w:szCs w:val="24"/>
                <w:rtl/>
              </w:rPr>
              <w:t xml:space="preserve"> לשם גיור או לא, מספיק שיטבול לפנינו לשם גרות והגיור יהיה תקף.</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ואילו רבי יוסי חולק עליו ואומר כי אין מטבילים אותו. כי רבי יוסי חושש שמא האיש נולד נימול או שמלו אותו למטרה אחרת, ומכאן שרבי יוסי דורש גם מילה וגם טבילה לשם גיור.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ועוד, לדברי רבי יהודה, מותר להטביל גר בשבת כיוון שלא הטבילה עצמה היא שיוצרת את ההתגיירות הרי שטבילת הגר היא סתם טבילה ככל טבילה של יהודי ומותרת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ואילו רבי יוסי אוסר את הטבלת הגר בשבת שכן נראה מדבריו כי הוא סבור שהטבילה היא שיוצרת את ההתגיירות ולכן היא פעולה משפטית שיוצרת יהודי ולכן אסורה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מר: לפיכך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גר בשבת,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פשיטא, כיון </w:t>
            </w:r>
            <w:proofErr w:type="spellStart"/>
            <w:r w:rsidRPr="004C6ACE">
              <w:rPr>
                <w:rFonts w:ascii="Arial (Hebrew)" w:eastAsia="Times New Roman" w:hAnsi="Arial (Hebrew)" w:cs="Arial (Hebrew)"/>
                <w:color w:val="000000"/>
                <w:sz w:val="24"/>
                <w:szCs w:val="24"/>
                <w:rtl/>
              </w:rPr>
              <w:t>דא"ר</w:t>
            </w:r>
            <w:proofErr w:type="spellEnd"/>
            <w:r w:rsidRPr="004C6ACE">
              <w:rPr>
                <w:rFonts w:ascii="Arial (Hebrew)" w:eastAsia="Times New Roman" w:hAnsi="Arial (Hebrew)" w:cs="Arial (Hebrew)"/>
                <w:color w:val="000000"/>
                <w:sz w:val="24"/>
                <w:szCs w:val="24"/>
                <w:rtl/>
              </w:rPr>
              <w:t xml:space="preserve"> יהודה בחדא </w:t>
            </w:r>
            <w:proofErr w:type="spellStart"/>
            <w:r w:rsidRPr="004C6ACE">
              <w:rPr>
                <w:rFonts w:ascii="Arial (Hebrew)" w:eastAsia="Times New Roman" w:hAnsi="Arial (Hebrew)" w:cs="Arial (Hebrew)"/>
                <w:color w:val="000000"/>
                <w:sz w:val="24"/>
                <w:szCs w:val="24"/>
                <w:rtl/>
              </w:rPr>
              <w:t>סגיא</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היכא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דמל</w:t>
            </w:r>
            <w:proofErr w:type="spellEnd"/>
            <w:r w:rsidRPr="004C6ACE">
              <w:rPr>
                <w:rFonts w:ascii="Arial (Hebrew)" w:eastAsia="Times New Roman" w:hAnsi="Arial (Hebrew)" w:cs="Arial (Hebrew)"/>
                <w:color w:val="000000"/>
                <w:sz w:val="24"/>
                <w:szCs w:val="24"/>
                <w:rtl/>
              </w:rPr>
              <w:t xml:space="preserve"> לפנינו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מאי לפיכך? מהו </w:t>
            </w:r>
            <w:proofErr w:type="spellStart"/>
            <w:r w:rsidRPr="004C6ACE">
              <w:rPr>
                <w:rFonts w:ascii="Arial (Hebrew)" w:eastAsia="Times New Roman" w:hAnsi="Arial (Hebrew)" w:cs="Arial (Hebrew)"/>
                <w:color w:val="000000"/>
                <w:sz w:val="24"/>
                <w:szCs w:val="24"/>
                <w:rtl/>
              </w:rPr>
              <w:t>דתימא</w:t>
            </w:r>
            <w:proofErr w:type="spellEnd"/>
            <w:r w:rsidRPr="004C6ACE">
              <w:rPr>
                <w:rFonts w:ascii="Arial (Hebrew)" w:eastAsia="Times New Roman" w:hAnsi="Arial (Hebrew)" w:cs="Arial (Hebrew)"/>
                <w:color w:val="000000"/>
                <w:sz w:val="24"/>
                <w:szCs w:val="24"/>
                <w:rtl/>
              </w:rPr>
              <w:t xml:space="preserve">, לרבי יהודה טבילה עיקר, וטבילה בשבת לא, </w:t>
            </w:r>
            <w:proofErr w:type="spellStart"/>
            <w:r w:rsidRPr="004C6ACE">
              <w:rPr>
                <w:rFonts w:ascii="Arial (Hebrew)" w:eastAsia="Times New Roman" w:hAnsi="Arial (Hebrew)" w:cs="Arial (Hebrew)"/>
                <w:color w:val="000000"/>
                <w:sz w:val="24"/>
                <w:szCs w:val="24"/>
                <w:rtl/>
              </w:rPr>
              <w:t>דקא</w:t>
            </w:r>
            <w:proofErr w:type="spellEnd"/>
            <w:r w:rsidRPr="004C6ACE">
              <w:rPr>
                <w:rFonts w:ascii="Arial (Hebrew)" w:eastAsia="Times New Roman" w:hAnsi="Arial (Hebrew)" w:cs="Arial (Hebrew)"/>
                <w:color w:val="000000"/>
                <w:sz w:val="24"/>
                <w:szCs w:val="24"/>
                <w:rtl/>
              </w:rPr>
              <w:t xml:space="preserve"> מתקן גברא,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קמ"ל</w:t>
            </w:r>
            <w:proofErr w:type="spellEnd"/>
            <w:r w:rsidRPr="004C6ACE">
              <w:rPr>
                <w:rFonts w:ascii="Arial (Hebrew)" w:eastAsia="Times New Roman" w:hAnsi="Arial (Hebrew)" w:cs="Arial (Hebrew)"/>
                <w:color w:val="000000"/>
                <w:sz w:val="24"/>
                <w:szCs w:val="24"/>
                <w:rtl/>
              </w:rPr>
              <w:t xml:space="preserve">, דר' יהודה או הא או הא בעי.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ר' יוסי אומר: אין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פשיטא, </w:t>
            </w:r>
            <w:proofErr w:type="spellStart"/>
            <w:r w:rsidRPr="004C6ACE">
              <w:rPr>
                <w:rFonts w:ascii="Arial (Hebrew)" w:eastAsia="Times New Roman" w:hAnsi="Arial (Hebrew)" w:cs="Arial (Hebrew)"/>
                <w:color w:val="000000"/>
                <w:sz w:val="24"/>
                <w:szCs w:val="24"/>
                <w:rtl/>
              </w:rPr>
              <w:t>דכיון</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דאמר</w:t>
            </w:r>
            <w:proofErr w:type="spellEnd"/>
            <w:r w:rsidRPr="004C6ACE">
              <w:rPr>
                <w:rFonts w:ascii="Arial (Hebrew)" w:eastAsia="Times New Roman" w:hAnsi="Arial (Hebrew)" w:cs="Arial (Hebrew)"/>
                <w:color w:val="000000"/>
                <w:sz w:val="24"/>
                <w:szCs w:val="24"/>
                <w:rtl/>
              </w:rPr>
              <w:t xml:space="preserve"> רבי יוסי תרתי בעינן, </w:t>
            </w:r>
            <w:proofErr w:type="spellStart"/>
            <w:r w:rsidRPr="004C6ACE">
              <w:rPr>
                <w:rFonts w:ascii="Arial (Hebrew)" w:eastAsia="Times New Roman" w:hAnsi="Arial (Hebrew)" w:cs="Arial (Hebrew)"/>
                <w:color w:val="000000"/>
                <w:sz w:val="24"/>
                <w:szCs w:val="24"/>
                <w:rtl/>
              </w:rPr>
              <w:t>תקוני</w:t>
            </w:r>
            <w:proofErr w:type="spellEnd"/>
            <w:r w:rsidRPr="004C6ACE">
              <w:rPr>
                <w:rFonts w:ascii="Arial (Hebrew)" w:eastAsia="Times New Roman" w:hAnsi="Arial (Hebrew)" w:cs="Arial (Hebrew)"/>
                <w:color w:val="000000"/>
                <w:sz w:val="24"/>
                <w:szCs w:val="24"/>
                <w:rtl/>
              </w:rPr>
              <w:t xml:space="preserve"> גברא בשבת לא </w:t>
            </w:r>
            <w:proofErr w:type="spellStart"/>
            <w:r w:rsidRPr="004C6ACE">
              <w:rPr>
                <w:rFonts w:ascii="Arial (Hebrew)" w:eastAsia="Times New Roman" w:hAnsi="Arial (Hebrew)" w:cs="Arial (Hebrew)"/>
                <w:color w:val="000000"/>
                <w:sz w:val="24"/>
                <w:szCs w:val="24"/>
                <w:rtl/>
              </w:rPr>
              <w:t>מתקנינן</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מהו </w:t>
            </w:r>
            <w:proofErr w:type="spellStart"/>
            <w:r w:rsidRPr="004C6ACE">
              <w:rPr>
                <w:rFonts w:ascii="Arial (Hebrew)" w:eastAsia="Times New Roman" w:hAnsi="Arial (Hebrew)" w:cs="Arial (Hebrew)"/>
                <w:color w:val="000000"/>
                <w:sz w:val="24"/>
                <w:szCs w:val="24"/>
                <w:rtl/>
              </w:rPr>
              <w:t>דתימא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לר</w:t>
            </w:r>
            <w:proofErr w:type="spellEnd"/>
            <w:r w:rsidRPr="004C6ACE">
              <w:rPr>
                <w:rFonts w:ascii="Arial (Hebrew)" w:eastAsia="Times New Roman" w:hAnsi="Arial (Hebrew)" w:cs="Arial (Hebrew)"/>
                <w:color w:val="000000"/>
                <w:sz w:val="24"/>
                <w:szCs w:val="24"/>
                <w:rtl/>
              </w:rPr>
              <w:t xml:space="preserve">' יוסי מילה עיקר, והתם הוא דלא </w:t>
            </w:r>
            <w:proofErr w:type="spellStart"/>
            <w:r w:rsidRPr="004C6ACE">
              <w:rPr>
                <w:rFonts w:ascii="Arial (Hebrew)" w:eastAsia="Times New Roman" w:hAnsi="Arial (Hebrew)" w:cs="Arial (Hebrew)"/>
                <w:color w:val="000000"/>
                <w:sz w:val="24"/>
                <w:szCs w:val="24"/>
                <w:rtl/>
              </w:rPr>
              <w:t>הואי</w:t>
            </w:r>
            <w:proofErr w:type="spellEnd"/>
            <w:r w:rsidRPr="004C6ACE">
              <w:rPr>
                <w:rFonts w:ascii="Arial (Hebrew)" w:eastAsia="Times New Roman" w:hAnsi="Arial (Hebrew)" w:cs="Arial (Hebrew)"/>
                <w:color w:val="000000"/>
                <w:sz w:val="24"/>
                <w:szCs w:val="24"/>
                <w:rtl/>
              </w:rPr>
              <w:t xml:space="preserve"> מילה בפנינו, אבל </w:t>
            </w:r>
            <w:proofErr w:type="spellStart"/>
            <w:r w:rsidRPr="004C6ACE">
              <w:rPr>
                <w:rFonts w:ascii="Arial (Hebrew)" w:eastAsia="Times New Roman" w:hAnsi="Arial (Hebrew)" w:cs="Arial (Hebrew)"/>
                <w:color w:val="000000"/>
                <w:sz w:val="24"/>
                <w:szCs w:val="24"/>
                <w:rtl/>
              </w:rPr>
              <w:t>היכא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דהויא</w:t>
            </w:r>
            <w:proofErr w:type="spellEnd"/>
            <w:r w:rsidRPr="004C6ACE">
              <w:rPr>
                <w:rFonts w:ascii="Arial (Hebrew)" w:eastAsia="Times New Roman" w:hAnsi="Arial (Hebrew)" w:cs="Arial (Hebrew)"/>
                <w:color w:val="000000"/>
                <w:sz w:val="24"/>
                <w:szCs w:val="24"/>
                <w:rtl/>
              </w:rPr>
              <w:t xml:space="preserve"> מילה בפנינו - אימא </w:t>
            </w:r>
            <w:proofErr w:type="spellStart"/>
            <w:r w:rsidRPr="004C6ACE">
              <w:rPr>
                <w:rFonts w:ascii="Arial (Hebrew)" w:eastAsia="Times New Roman" w:hAnsi="Arial (Hebrew)" w:cs="Arial (Hebrew)"/>
                <w:color w:val="000000"/>
                <w:sz w:val="24"/>
                <w:szCs w:val="24"/>
                <w:rtl/>
              </w:rPr>
              <w:t>ליטבל</w:t>
            </w:r>
            <w:proofErr w:type="spellEnd"/>
            <w:r w:rsidRPr="004C6ACE">
              <w:rPr>
                <w:rFonts w:ascii="Arial (Hebrew)" w:eastAsia="Times New Roman" w:hAnsi="Arial (Hebrew)" w:cs="Arial (Hebrew)"/>
                <w:color w:val="000000"/>
                <w:sz w:val="24"/>
                <w:szCs w:val="24"/>
                <w:rtl/>
              </w:rPr>
              <w:t xml:space="preserve"> זה </w:t>
            </w:r>
            <w:proofErr w:type="spellStart"/>
            <w:r w:rsidRPr="004C6ACE">
              <w:rPr>
                <w:rFonts w:ascii="Arial (Hebrew)" w:eastAsia="Times New Roman" w:hAnsi="Arial (Hebrew)" w:cs="Arial (Hebrew)"/>
                <w:color w:val="000000"/>
                <w:sz w:val="24"/>
                <w:szCs w:val="24"/>
                <w:rtl/>
              </w:rPr>
              <w:t>בשבתא</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קמ"ל</w:t>
            </w:r>
            <w:proofErr w:type="spellEnd"/>
            <w:r w:rsidRPr="004C6ACE">
              <w:rPr>
                <w:rFonts w:ascii="Arial (Hebrew)" w:eastAsia="Times New Roman" w:hAnsi="Arial (Hebrew)" w:cs="Arial (Hebrew)"/>
                <w:color w:val="000000"/>
                <w:sz w:val="24"/>
                <w:szCs w:val="24"/>
                <w:rtl/>
              </w:rPr>
              <w:t>, דרבי יוסי תרתי בעי.</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מעיר אחד מחכמי התלמוד (אמורא) לכן מטבילים גר גם בשבת, זה פשוט (מובן מאליו!) מאחר ורבי יהודה מסתפק באחד מן הדברים (מילה או טבילה) הרי שאם </w:t>
            </w:r>
            <w:r w:rsidRPr="004C6ACE">
              <w:rPr>
                <w:rFonts w:ascii="Arial (Hebrew)" w:eastAsia="Times New Roman" w:hAnsi="Arial (Hebrew)" w:cs="Arial (Hebrew)"/>
                <w:color w:val="000000"/>
                <w:sz w:val="24"/>
                <w:szCs w:val="24"/>
                <w:rtl/>
              </w:rPr>
              <w:lastRenderedPageBreak/>
              <w:t>הגר נימול לפנינו הרי שהוא כבר יהודי ונתיר לו לטבול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ממשיך ושואל האמורא אם כך מהי משמעות המלה "לפיכך" שבדברי רבי יהודה, הרי זה מובן מאליו?</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משיבה הגמרא כי אם נאמר כי לרבי יהודה הטבילה היא העיקר הרי שבאמת יהיה אסור לטבול בשבת אם זו טבילה לצורך גיור כי טבילה לצורך "</w:t>
            </w:r>
            <w:proofErr w:type="spellStart"/>
            <w:r w:rsidRPr="004C6ACE">
              <w:rPr>
                <w:rFonts w:ascii="Arial (Hebrew)" w:eastAsia="Times New Roman" w:hAnsi="Arial (Hebrew)" w:cs="Arial (Hebrew)"/>
                <w:color w:val="000000"/>
                <w:sz w:val="24"/>
                <w:szCs w:val="24"/>
                <w:rtl/>
              </w:rPr>
              <w:t>תקוני</w:t>
            </w:r>
            <w:proofErr w:type="spellEnd"/>
            <w:r w:rsidRPr="004C6ACE">
              <w:rPr>
                <w:rFonts w:ascii="Arial (Hebrew)" w:eastAsia="Times New Roman" w:hAnsi="Arial (Hebrew)" w:cs="Arial (Hebrew)"/>
                <w:color w:val="000000"/>
                <w:sz w:val="24"/>
                <w:szCs w:val="24"/>
                <w:rtl/>
              </w:rPr>
              <w:t xml:space="preserve"> גברא" אסורה בשבת. לכן משמיע לנו שרבי יהודה צריך אחד מן השניים: או טבילה או מילה, ולכן אחד מן השניים יספיק על מנת לגייר ומכאן המסקנה היא שהטבילה שלאחר המילה איננה יוצרת את ההתגיירות ולכן תהיה מותרת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רבי יוסי אומר כי בשבת אין מטבילים.  אומרת הגמרא: הרי זה מובן מאליו! אם רבי יוסי אומר שצריך שני דברים על מנת להתגייר, גם מילה וגם טבילה, הרי שאם יטבול הגר בשבת, הטבילה תיצור את ההתגיירות וזו פעולה האסורה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האם נאמר כי לרבי יוסי מילה היא העיקר ובמקרה הנדון לא </w:t>
            </w:r>
            <w:proofErr w:type="spellStart"/>
            <w:r w:rsidRPr="004C6ACE">
              <w:rPr>
                <w:rFonts w:ascii="Arial (Hebrew)" w:eastAsia="Times New Roman" w:hAnsi="Arial (Hebrew)" w:cs="Arial (Hebrew)"/>
                <w:color w:val="000000"/>
                <w:sz w:val="24"/>
                <w:szCs w:val="24"/>
                <w:rtl/>
              </w:rPr>
              <w:t>היתה</w:t>
            </w:r>
            <w:proofErr w:type="spellEnd"/>
            <w:r w:rsidRPr="004C6ACE">
              <w:rPr>
                <w:rFonts w:ascii="Arial (Hebrew)" w:eastAsia="Times New Roman" w:hAnsi="Arial (Hebrew)" w:cs="Arial (Hebrew)"/>
                <w:color w:val="000000"/>
                <w:sz w:val="24"/>
                <w:szCs w:val="24"/>
                <w:rtl/>
              </w:rPr>
              <w:t xml:space="preserve"> מילה בפנינו, אבל אם כן </w:t>
            </w:r>
            <w:proofErr w:type="spellStart"/>
            <w:r w:rsidRPr="004C6ACE">
              <w:rPr>
                <w:rFonts w:ascii="Arial (Hebrew)" w:eastAsia="Times New Roman" w:hAnsi="Arial (Hebrew)" w:cs="Arial (Hebrew)"/>
                <w:color w:val="000000"/>
                <w:sz w:val="24"/>
                <w:szCs w:val="24"/>
                <w:rtl/>
              </w:rPr>
              <w:t>היתה</w:t>
            </w:r>
            <w:proofErr w:type="spellEnd"/>
            <w:r w:rsidRPr="004C6ACE">
              <w:rPr>
                <w:rFonts w:ascii="Arial (Hebrew)" w:eastAsia="Times New Roman" w:hAnsi="Arial (Hebrew)" w:cs="Arial (Hebrew)"/>
                <w:color w:val="000000"/>
                <w:sz w:val="24"/>
                <w:szCs w:val="24"/>
                <w:rtl/>
              </w:rPr>
              <w:t xml:space="preserve"> מילה בפנינו אולי כן היה מתיר רבי יוסי טבילה בשבת?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מסקנת הסוגיה היא כי לא כך סבור רבי יוסי, אלא לדעתו צריך מילה וטבילה לשם גיור ולכן דעת חכמים שבברייתא הראשונה היא דעתו של רבי יוסי.</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אמר רבה: </w:t>
            </w:r>
            <w:proofErr w:type="spellStart"/>
            <w:r w:rsidRPr="004C6ACE">
              <w:rPr>
                <w:rFonts w:ascii="Arial (Hebrew)" w:eastAsia="Times New Roman" w:hAnsi="Arial (Hebrew)" w:cs="Arial (Hebrew)"/>
                <w:color w:val="000000"/>
                <w:sz w:val="24"/>
                <w:szCs w:val="24"/>
                <w:rtl/>
              </w:rPr>
              <w:t>עובדא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הוה</w:t>
            </w:r>
            <w:proofErr w:type="spellEnd"/>
            <w:r w:rsidRPr="004C6ACE">
              <w:rPr>
                <w:rFonts w:ascii="Arial (Hebrew)" w:eastAsia="Times New Roman" w:hAnsi="Arial (Hebrew)" w:cs="Arial (Hebrew)"/>
                <w:color w:val="000000"/>
                <w:sz w:val="24"/>
                <w:szCs w:val="24"/>
                <w:rtl/>
              </w:rPr>
              <w:t xml:space="preserve"> בי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רבי, ורב יוסף מתני: רבי </w:t>
            </w:r>
            <w:proofErr w:type="spellStart"/>
            <w:r w:rsidRPr="004C6ACE">
              <w:rPr>
                <w:rFonts w:ascii="Arial (Hebrew)" w:eastAsia="Times New Roman" w:hAnsi="Arial (Hebrew)" w:cs="Arial (Hebrew)"/>
                <w:color w:val="000000"/>
                <w:sz w:val="24"/>
                <w:szCs w:val="24"/>
                <w:rtl/>
              </w:rPr>
              <w:t>אושעיא</w:t>
            </w:r>
            <w:proofErr w:type="spellEnd"/>
            <w:r w:rsidRPr="004C6ACE">
              <w:rPr>
                <w:rFonts w:ascii="Arial (Hebrew)" w:eastAsia="Times New Roman" w:hAnsi="Arial (Hebrew)" w:cs="Arial (Hebrew)"/>
                <w:color w:val="000000"/>
                <w:sz w:val="24"/>
                <w:szCs w:val="24"/>
                <w:rtl/>
              </w:rPr>
              <w:t xml:space="preserve"> בר רבי, ורב ספרא מתני: ר' </w:t>
            </w:r>
            <w:proofErr w:type="spellStart"/>
            <w:r w:rsidRPr="004C6ACE">
              <w:rPr>
                <w:rFonts w:ascii="Arial (Hebrew)" w:eastAsia="Times New Roman" w:hAnsi="Arial (Hebrew)" w:cs="Arial (Hebrew)"/>
                <w:color w:val="000000"/>
                <w:sz w:val="24"/>
                <w:szCs w:val="24"/>
                <w:rtl/>
              </w:rPr>
              <w:t>אושעיא</w:t>
            </w:r>
            <w:proofErr w:type="spellEnd"/>
            <w:r w:rsidRPr="004C6ACE">
              <w:rPr>
                <w:rFonts w:ascii="Arial (Hebrew)" w:eastAsia="Times New Roman" w:hAnsi="Arial (Hebrew)" w:cs="Arial (Hebrew)"/>
                <w:color w:val="000000"/>
                <w:sz w:val="24"/>
                <w:szCs w:val="24"/>
                <w:rtl/>
              </w:rPr>
              <w:t xml:space="preserve"> בר'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דאתא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לקמיה</w:t>
            </w:r>
            <w:proofErr w:type="spellEnd"/>
            <w:r w:rsidRPr="004C6ACE">
              <w:rPr>
                <w:rFonts w:ascii="Arial (Hebrew)" w:eastAsia="Times New Roman" w:hAnsi="Arial (Hebrew)" w:cs="Arial (Hebrew)"/>
                <w:color w:val="000000"/>
                <w:sz w:val="24"/>
                <w:szCs w:val="24"/>
                <w:rtl/>
              </w:rPr>
              <w:t xml:space="preserve"> גר שמל ולא טבל, א"ל: שהי כאן עד למחר </w:t>
            </w:r>
            <w:proofErr w:type="spellStart"/>
            <w:r w:rsidRPr="004C6ACE">
              <w:rPr>
                <w:rFonts w:ascii="Arial (Hebrew)" w:eastAsia="Times New Roman" w:hAnsi="Arial (Hebrew)" w:cs="Arial (Hebrew)"/>
                <w:color w:val="000000"/>
                <w:sz w:val="24"/>
                <w:szCs w:val="24"/>
                <w:rtl/>
              </w:rPr>
              <w:t>ונטבלינך</w:t>
            </w:r>
            <w:proofErr w:type="spellEnd"/>
            <w:r w:rsidRPr="004C6ACE">
              <w:rPr>
                <w:rFonts w:ascii="Arial (Hebrew)" w:eastAsia="Times New Roman" w:hAnsi="Arial (Hebrew)" w:cs="Arial (Hebrew)"/>
                <w:color w:val="000000"/>
                <w:sz w:val="24"/>
                <w:szCs w:val="24"/>
                <w:rtl/>
              </w:rPr>
              <w:t>.</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ש"מ תלת: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 ש"מ גר צריך שלשה,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וש"מ אינו גר עד שימול ויטבול,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וש"מ אין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גר בלילה.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ונימא</w:t>
            </w:r>
            <w:proofErr w:type="spellEnd"/>
            <w:r w:rsidRPr="004C6ACE">
              <w:rPr>
                <w:rFonts w:ascii="Arial (Hebrew)" w:eastAsia="Times New Roman" w:hAnsi="Arial (Hebrew)" w:cs="Arial (Hebrew)"/>
                <w:color w:val="000000"/>
                <w:sz w:val="24"/>
                <w:szCs w:val="24"/>
                <w:rtl/>
              </w:rPr>
              <w:t xml:space="preserve">: ש"מ </w:t>
            </w:r>
            <w:proofErr w:type="spellStart"/>
            <w:r w:rsidRPr="004C6ACE">
              <w:rPr>
                <w:rFonts w:ascii="Arial (Hebrew)" w:eastAsia="Times New Roman" w:hAnsi="Arial (Hebrew)" w:cs="Arial (Hebrew)"/>
                <w:color w:val="000000"/>
                <w:sz w:val="24"/>
                <w:szCs w:val="24"/>
                <w:rtl/>
              </w:rPr>
              <w:t>נמי</w:t>
            </w:r>
            <w:proofErr w:type="spellEnd"/>
            <w:r w:rsidRPr="004C6ACE">
              <w:rPr>
                <w:rFonts w:ascii="Arial (Hebrew)" w:eastAsia="Times New Roman" w:hAnsi="Arial (Hebrew)" w:cs="Arial (Hebrew)"/>
                <w:color w:val="000000"/>
                <w:sz w:val="24"/>
                <w:szCs w:val="24"/>
                <w:rtl/>
              </w:rPr>
              <w:t xml:space="preserve"> בעינן </w:t>
            </w:r>
            <w:proofErr w:type="spellStart"/>
            <w:r w:rsidRPr="004C6ACE">
              <w:rPr>
                <w:rFonts w:ascii="Arial (Hebrew)" w:eastAsia="Times New Roman" w:hAnsi="Arial (Hebrew)" w:cs="Arial (Hebrew)"/>
                <w:color w:val="000000"/>
                <w:sz w:val="24"/>
                <w:szCs w:val="24"/>
                <w:rtl/>
              </w:rPr>
              <w:t>מומחין</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דלמא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דאיקלעו</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אמר רבי יוחנן: גר צריך ג', משפט כתיב ביה.</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אומר רבה: היה מעשה בבית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בנו של רבי (יהודה הנשיא) ורב יוסף מוסיף גם את רבי </w:t>
            </w:r>
            <w:proofErr w:type="spellStart"/>
            <w:r w:rsidRPr="004C6ACE">
              <w:rPr>
                <w:rFonts w:ascii="Arial (Hebrew)" w:eastAsia="Times New Roman" w:hAnsi="Arial (Hebrew)" w:cs="Arial (Hebrew)"/>
                <w:color w:val="000000"/>
                <w:sz w:val="24"/>
                <w:szCs w:val="24"/>
                <w:rtl/>
              </w:rPr>
              <w:t>אושעיא</w:t>
            </w:r>
            <w:proofErr w:type="spellEnd"/>
            <w:r w:rsidRPr="004C6ACE">
              <w:rPr>
                <w:rFonts w:ascii="Arial (Hebrew)" w:eastAsia="Times New Roman" w:hAnsi="Arial (Hebrew)" w:cs="Arial (Hebrew)"/>
                <w:color w:val="000000"/>
                <w:sz w:val="24"/>
                <w:szCs w:val="24"/>
                <w:rtl/>
              </w:rPr>
              <w:t xml:space="preserve"> בנו של רבי למעשה ורב ספרא מוסיף גם את רבי </w:t>
            </w:r>
            <w:proofErr w:type="spellStart"/>
            <w:r w:rsidRPr="004C6ACE">
              <w:rPr>
                <w:rFonts w:ascii="Arial (Hebrew)" w:eastAsia="Times New Roman" w:hAnsi="Arial (Hebrew)" w:cs="Arial (Hebrew)"/>
                <w:color w:val="000000"/>
                <w:sz w:val="24"/>
                <w:szCs w:val="24"/>
                <w:rtl/>
              </w:rPr>
              <w:t>אושעיא</w:t>
            </w:r>
            <w:proofErr w:type="spellEnd"/>
            <w:r w:rsidRPr="004C6ACE">
              <w:rPr>
                <w:rFonts w:ascii="Arial (Hebrew)" w:eastAsia="Times New Roman" w:hAnsi="Arial (Hebrew)" w:cs="Arial (Hebrew)"/>
                <w:color w:val="000000"/>
                <w:sz w:val="24"/>
                <w:szCs w:val="24"/>
                <w:rtl/>
              </w:rPr>
              <w:t xml:space="preserve"> בנו של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למעשה (כלומר בסופו של דבר יש לנו שלושה חכמים בסיפור):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בא לפניו גר שמל ולא טבל. אמר לו חכה כאן עד מחר ונטביל אותך.</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הגמרא לומדת ממעשה זה שלוש הלכות: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גר צריך להתגייר בפני שלושה.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הגרות איננה תקפה עד לאחר שימול ויטבול.</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אין </w:t>
            </w:r>
            <w:proofErr w:type="spellStart"/>
            <w:r w:rsidRPr="004C6ACE">
              <w:rPr>
                <w:rFonts w:ascii="Arial (Hebrew)" w:eastAsia="Times New Roman" w:hAnsi="Arial (Hebrew)" w:cs="Arial (Hebrew)"/>
                <w:color w:val="000000"/>
                <w:sz w:val="24"/>
                <w:szCs w:val="24"/>
                <w:rtl/>
              </w:rPr>
              <w:t>מטבילין</w:t>
            </w:r>
            <w:proofErr w:type="spellEnd"/>
            <w:r w:rsidRPr="004C6ACE">
              <w:rPr>
                <w:rFonts w:ascii="Arial (Hebrew)" w:eastAsia="Times New Roman" w:hAnsi="Arial (Hebrew)" w:cs="Arial (Hebrew)"/>
                <w:color w:val="000000"/>
                <w:sz w:val="24"/>
                <w:szCs w:val="24"/>
                <w:rtl/>
              </w:rPr>
              <w:t xml:space="preserve"> גר בלילה.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מציעה הגמרא, אולי אפשר ללמוד גם הלכה רביעית והיא שצריך שלושה דיינים מומחים כדי לגייר שהרי כל האישים שבמעשה הם דיינים מומחים?</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משיבה הגמרא, לא. זה היה רק מקרה שהתקבצו למקום שלושה מומחים. בעיקרון אין הכרח במומחים.</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בשם רבי יוחנן: צריך שיהיו שלושה נוכחים במעמד הגיור, מניין לומדים זאת? ממדרש על הפסוק בבמדבר טו 16 "משפט אחד יהיה לכם ולגר </w:t>
            </w:r>
            <w:proofErr w:type="spellStart"/>
            <w:r w:rsidRPr="004C6ACE">
              <w:rPr>
                <w:rFonts w:ascii="Arial (Hebrew)" w:eastAsia="Times New Roman" w:hAnsi="Arial (Hebrew)" w:cs="Arial (Hebrew)"/>
                <w:color w:val="000000"/>
                <w:sz w:val="24"/>
                <w:szCs w:val="24"/>
                <w:rtl/>
              </w:rPr>
              <w:t>וכו</w:t>
            </w:r>
            <w:proofErr w:type="spellEnd"/>
            <w:r w:rsidRPr="004C6ACE">
              <w:rPr>
                <w:rFonts w:ascii="Arial (Hebrew)" w:eastAsia="Times New Roman" w:hAnsi="Arial (Hebrew)" w:cs="Arial (Hebrew)"/>
                <w:color w:val="000000"/>
                <w:sz w:val="24"/>
                <w:szCs w:val="24"/>
                <w:rtl/>
              </w:rPr>
              <w:t>" כמו שבמשפט רגיל צריך שלושה דיינים כך גם בהתגיירות שהיא מעשה בית דין צריך שלושה.</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ת"ר: מי שבא ואמר גר אני, יכול </w:t>
            </w:r>
            <w:proofErr w:type="spellStart"/>
            <w:r w:rsidRPr="004C6ACE">
              <w:rPr>
                <w:rFonts w:ascii="Arial (Hebrew)" w:eastAsia="Times New Roman" w:hAnsi="Arial (Hebrew)" w:cs="Arial (Hebrew)"/>
                <w:color w:val="000000"/>
                <w:sz w:val="24"/>
                <w:szCs w:val="24"/>
                <w:rtl/>
              </w:rPr>
              <w:t>נקבלנו</w:t>
            </w:r>
            <w:proofErr w:type="spellEnd"/>
            <w:r w:rsidRPr="004C6ACE">
              <w:rPr>
                <w:rFonts w:ascii="Arial (Hebrew)" w:eastAsia="Times New Roman" w:hAnsi="Arial (Hebrew)" w:cs="Arial (Hebrew)"/>
                <w:color w:val="000000"/>
                <w:sz w:val="24"/>
                <w:szCs w:val="24"/>
                <w:rtl/>
              </w:rPr>
              <w:t xml:space="preserve">? ת"ל: אתך, במוחזק לך.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בא ועדיו עמו, מנין? ת"ל: (ויקרא י"ט) וכי יגור אתך גר בארצכם. אין לי אלא בארץ, בח"ל מנין? תלמוד לומר. אתך, בכל מקום שאתך;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אם כן, מה ת"ל בארץ? בארץ - צריך להביא ראיה, בח"ל - אין צריך להביא ראיה, דברי ר' יהודה;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וחכמים אומרים: בין בארץ בין בחוצה לארץ - צריך להביא ראיה.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בא הוא ועדיו עמו, קרא למה לי?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 ששת, </w:t>
            </w:r>
            <w:proofErr w:type="spellStart"/>
            <w:r w:rsidRPr="004C6ACE">
              <w:rPr>
                <w:rFonts w:ascii="Arial (Hebrew)" w:eastAsia="Times New Roman" w:hAnsi="Arial (Hebrew)" w:cs="Arial (Hebrew)"/>
                <w:color w:val="000000"/>
                <w:sz w:val="24"/>
                <w:szCs w:val="24"/>
                <w:rtl/>
              </w:rPr>
              <w:t>דאמרי</w:t>
            </w:r>
            <w:proofErr w:type="spellEnd"/>
            <w:r w:rsidRPr="004C6ACE">
              <w:rPr>
                <w:rFonts w:ascii="Arial (Hebrew)" w:eastAsia="Times New Roman" w:hAnsi="Arial (Hebrew)" w:cs="Arial (Hebrew)"/>
                <w:color w:val="000000"/>
                <w:sz w:val="24"/>
                <w:szCs w:val="24"/>
                <w:rtl/>
              </w:rPr>
              <w:t xml:space="preserve">: שמענו שנתגייר </w:t>
            </w:r>
            <w:proofErr w:type="spellStart"/>
            <w:r w:rsidRPr="004C6ACE">
              <w:rPr>
                <w:rFonts w:ascii="Arial (Hebrew)" w:eastAsia="Times New Roman" w:hAnsi="Arial (Hebrew)" w:cs="Arial (Hebrew)"/>
                <w:color w:val="000000"/>
                <w:sz w:val="24"/>
                <w:szCs w:val="24"/>
                <w:rtl/>
              </w:rPr>
              <w:t>בב"ד</w:t>
            </w:r>
            <w:proofErr w:type="spellEnd"/>
            <w:r w:rsidRPr="004C6ACE">
              <w:rPr>
                <w:rFonts w:ascii="Arial (Hebrew)" w:eastAsia="Times New Roman" w:hAnsi="Arial (Hebrew)" w:cs="Arial (Hebrew)"/>
                <w:color w:val="000000"/>
                <w:sz w:val="24"/>
                <w:szCs w:val="24"/>
                <w:rtl/>
              </w:rPr>
              <w:t xml:space="preserve"> של פלוני,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סד"א</w:t>
            </w:r>
            <w:proofErr w:type="spellEnd"/>
            <w:r w:rsidRPr="004C6ACE">
              <w:rPr>
                <w:rFonts w:ascii="Arial (Hebrew)" w:eastAsia="Times New Roman" w:hAnsi="Arial (Hebrew)" w:cs="Arial (Hebrew)"/>
                <w:color w:val="000000"/>
                <w:sz w:val="24"/>
                <w:szCs w:val="24"/>
                <w:rtl/>
              </w:rPr>
              <w:t xml:space="preserve"> לא </w:t>
            </w:r>
            <w:proofErr w:type="spellStart"/>
            <w:r w:rsidRPr="004C6ACE">
              <w:rPr>
                <w:rFonts w:ascii="Arial (Hebrew)" w:eastAsia="Times New Roman" w:hAnsi="Arial (Hebrew)" w:cs="Arial (Hebrew)"/>
                <w:color w:val="000000"/>
                <w:sz w:val="24"/>
                <w:szCs w:val="24"/>
                <w:rtl/>
              </w:rPr>
              <w:t>ליהמנייהו</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קמ"ל</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בארץ - אין לי אלא בארץ, בח"ל מנין?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ת"ל: אתך, בכל מקום שאתך.</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למדו חכמים (בברייתא): מי שבא (גוי) ואמר "גר אני"  האם נקבל אותו? תלמוד לומר (תשובה) כתוב בתורה "אתך" כלומר במוחזק לך, אתה יכול לקבל רק את מי שאתה יודע שהוא גר.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אם בא גר והביא עדים שהתגייר, האם </w:t>
            </w:r>
            <w:proofErr w:type="spellStart"/>
            <w:r w:rsidRPr="004C6ACE">
              <w:rPr>
                <w:rFonts w:ascii="Arial (Hebrew)" w:eastAsia="Times New Roman" w:hAnsi="Arial (Hebrew)" w:cs="Arial (Hebrew)"/>
                <w:color w:val="000000"/>
                <w:sz w:val="24"/>
                <w:szCs w:val="24"/>
                <w:rtl/>
              </w:rPr>
              <w:t>נקבלנו</w:t>
            </w:r>
            <w:proofErr w:type="spellEnd"/>
            <w:r w:rsidRPr="004C6ACE">
              <w:rPr>
                <w:rFonts w:ascii="Arial (Hebrew)" w:eastAsia="Times New Roman" w:hAnsi="Arial (Hebrew)" w:cs="Arial (Hebrew)"/>
                <w:color w:val="000000"/>
                <w:sz w:val="24"/>
                <w:szCs w:val="24"/>
                <w:rtl/>
              </w:rPr>
              <w:t>?</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תלמוד לומר "וכי יגור אתך גר בארצכם" אין לי אלא בארץ ישראל, אבל האם נקבל אותו גם בחו"ל? תלמוד לומר "אתך" כלומר בכל מקום שאתה, אתה מקבל את הגר.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אם כך מה יש ללמוד מן המלה "בארץ"? תשובה: בארץ ישראל </w:t>
            </w:r>
            <w:proofErr w:type="spellStart"/>
            <w:r w:rsidRPr="004C6ACE">
              <w:rPr>
                <w:rFonts w:ascii="Arial (Hebrew)" w:eastAsia="Times New Roman" w:hAnsi="Arial (Hebrew)" w:cs="Arial (Hebrew)"/>
                <w:color w:val="000000"/>
                <w:sz w:val="24"/>
                <w:szCs w:val="24"/>
                <w:rtl/>
              </w:rPr>
              <w:t>תריך</w:t>
            </w:r>
            <w:proofErr w:type="spellEnd"/>
            <w:r w:rsidRPr="004C6ACE">
              <w:rPr>
                <w:rFonts w:ascii="Arial (Hebrew)" w:eastAsia="Times New Roman" w:hAnsi="Arial (Hebrew)" w:cs="Arial (Hebrew)"/>
                <w:color w:val="000000"/>
                <w:sz w:val="24"/>
                <w:szCs w:val="24"/>
                <w:rtl/>
              </w:rPr>
              <w:t xml:space="preserve"> להביא ראיה שהוא התגייר אבל בחו"ל הוא איננו צריך להביא ראיה. דברי רבי יהודה.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חכמים אומרים שצריך להביא ראיה בין בארץ ישראל ובין בחו"ל.</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שואלת הגמרא: אם הגר בא עם עדים הרי זה טבעי שנקבל אותו, למה אני צריך מקרא (פסוק תומך מהתורה)?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עונה רב ששת: העדים בקרה זה לא חייבים להיות עדים שנכחו בגיור עצמו אלא עדים מהימנים ששמעו שהיה גיור בבית דין </w:t>
            </w:r>
            <w:proofErr w:type="spellStart"/>
            <w:r w:rsidRPr="004C6ACE">
              <w:rPr>
                <w:rFonts w:ascii="Arial (Hebrew)" w:eastAsia="Times New Roman" w:hAnsi="Arial (Hebrew)" w:cs="Arial (Hebrew)"/>
                <w:color w:val="000000"/>
                <w:sz w:val="24"/>
                <w:szCs w:val="24"/>
                <w:rtl/>
              </w:rPr>
              <w:t>מסויים</w:t>
            </w:r>
            <w:proofErr w:type="spellEnd"/>
            <w:r w:rsidRPr="004C6ACE">
              <w:rPr>
                <w:rFonts w:ascii="Arial (Hebrew)" w:eastAsia="Times New Roman" w:hAnsi="Arial (Hebrew)" w:cs="Arial (Hebrew)"/>
                <w:color w:val="000000"/>
                <w:sz w:val="24"/>
                <w:szCs w:val="24"/>
                <w:rtl/>
              </w:rPr>
              <w:t>. ואם תעלה על דעתך שעדות כזו איננה מספקת, עונה הגמרא שעדות כזו כן מספקת.</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ושוב אומרת הגמרא אנו לומדים מן המלה "בארץ" שרק בארץ מקבלים, אם כך איך נלמד שגם בחו"ל?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התשובה היא: מסתמכים על המלה "אתך" בכל מקום שאתה נמצא.</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והא </w:t>
            </w:r>
            <w:proofErr w:type="spellStart"/>
            <w:r w:rsidRPr="004C6ACE">
              <w:rPr>
                <w:rFonts w:ascii="Arial (Hebrew)" w:eastAsia="Times New Roman" w:hAnsi="Arial (Hebrew)" w:cs="Arial (Hebrew)"/>
                <w:color w:val="000000"/>
                <w:sz w:val="24"/>
                <w:szCs w:val="24"/>
                <w:rtl/>
              </w:rPr>
              <w:t>אפיקתיה</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חדא</w:t>
            </w:r>
            <w:proofErr w:type="spellEnd"/>
            <w:r w:rsidRPr="004C6ACE">
              <w:rPr>
                <w:rFonts w:ascii="Arial (Hebrew)" w:eastAsia="Times New Roman" w:hAnsi="Arial (Hebrew)" w:cs="Arial (Hebrew)"/>
                <w:color w:val="000000"/>
                <w:sz w:val="24"/>
                <w:szCs w:val="24"/>
                <w:rtl/>
              </w:rPr>
              <w:t xml:space="preserve"> מאתך, </w:t>
            </w:r>
            <w:proofErr w:type="spellStart"/>
            <w:r w:rsidRPr="004C6ACE">
              <w:rPr>
                <w:rFonts w:ascii="Arial (Hebrew)" w:eastAsia="Times New Roman" w:hAnsi="Arial (Hebrew)" w:cs="Arial (Hebrew)"/>
                <w:color w:val="000000"/>
                <w:sz w:val="24"/>
                <w:szCs w:val="24"/>
                <w:rtl/>
              </w:rPr>
              <w:t>וחדא</w:t>
            </w:r>
            <w:proofErr w:type="spellEnd"/>
            <w:r w:rsidRPr="004C6ACE">
              <w:rPr>
                <w:rFonts w:ascii="Arial (Hebrew)" w:eastAsia="Times New Roman" w:hAnsi="Arial (Hebrew)" w:cs="Arial (Hebrew)"/>
                <w:color w:val="000000"/>
                <w:sz w:val="24"/>
                <w:szCs w:val="24"/>
                <w:rtl/>
              </w:rPr>
              <w:t xml:space="preserve"> מעמך.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וחכ"א</w:t>
            </w:r>
            <w:proofErr w:type="spellEnd"/>
            <w:r w:rsidRPr="004C6ACE">
              <w:rPr>
                <w:rFonts w:ascii="Arial (Hebrew)" w:eastAsia="Times New Roman" w:hAnsi="Arial (Hebrew)" w:cs="Arial (Hebrew)"/>
                <w:color w:val="000000"/>
                <w:sz w:val="24"/>
                <w:szCs w:val="24"/>
                <w:rtl/>
              </w:rPr>
              <w:t xml:space="preserve">: בין בארץ בין בחו"ל - צריך להביא ראיה.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ואלא הא כתיב: בארץ! ההוא </w:t>
            </w:r>
            <w:proofErr w:type="spellStart"/>
            <w:r w:rsidRPr="004C6ACE">
              <w:rPr>
                <w:rFonts w:ascii="Arial (Hebrew)" w:eastAsia="Times New Roman" w:hAnsi="Arial (Hebrew)" w:cs="Arial (Hebrew)"/>
                <w:color w:val="000000"/>
                <w:sz w:val="24"/>
                <w:szCs w:val="24"/>
                <w:rtl/>
              </w:rPr>
              <w:t>מיבעי</w:t>
            </w:r>
            <w:proofErr w:type="spellEnd"/>
            <w:r w:rsidRPr="004C6ACE">
              <w:rPr>
                <w:rFonts w:ascii="Arial (Hebrew)" w:eastAsia="Times New Roman" w:hAnsi="Arial (Hebrew)" w:cs="Arial (Hebrew)"/>
                <w:color w:val="000000"/>
                <w:sz w:val="24"/>
                <w:szCs w:val="24"/>
                <w:rtl/>
              </w:rPr>
              <w:t xml:space="preserve"> ליה, </w:t>
            </w:r>
            <w:proofErr w:type="spellStart"/>
            <w:r w:rsidRPr="004C6ACE">
              <w:rPr>
                <w:rFonts w:ascii="Arial (Hebrew)" w:eastAsia="Times New Roman" w:hAnsi="Arial (Hebrew)" w:cs="Arial (Hebrew)"/>
                <w:color w:val="000000"/>
                <w:sz w:val="24"/>
                <w:szCs w:val="24"/>
                <w:rtl/>
              </w:rPr>
              <w:t>דאפילו</w:t>
            </w:r>
            <w:proofErr w:type="spellEnd"/>
            <w:r w:rsidRPr="004C6ACE">
              <w:rPr>
                <w:rFonts w:ascii="Arial (Hebrew)" w:eastAsia="Times New Roman" w:hAnsi="Arial (Hebrew)" w:cs="Arial (Hebrew)"/>
                <w:color w:val="000000"/>
                <w:sz w:val="24"/>
                <w:szCs w:val="24"/>
                <w:rtl/>
              </w:rPr>
              <w:t xml:space="preserve"> בארץ מקבלים גרים, </w:t>
            </w:r>
            <w:proofErr w:type="spellStart"/>
            <w:r w:rsidRPr="004C6ACE">
              <w:rPr>
                <w:rFonts w:ascii="Arial (Hebrew)" w:eastAsia="Times New Roman" w:hAnsi="Arial (Hebrew)" w:cs="Arial (Hebrew)"/>
                <w:color w:val="000000"/>
                <w:sz w:val="24"/>
                <w:szCs w:val="24"/>
                <w:rtl/>
              </w:rPr>
              <w:t>דסד"א</w:t>
            </w:r>
            <w:proofErr w:type="spellEnd"/>
            <w:r w:rsidRPr="004C6ACE">
              <w:rPr>
                <w:rFonts w:ascii="Arial (Hebrew)" w:eastAsia="Times New Roman" w:hAnsi="Arial (Hebrew)" w:cs="Arial (Hebrew)"/>
                <w:color w:val="000000"/>
                <w:sz w:val="24"/>
                <w:szCs w:val="24"/>
                <w:rtl/>
              </w:rPr>
              <w:t xml:space="preserve"> משום </w:t>
            </w:r>
            <w:proofErr w:type="spellStart"/>
            <w:r w:rsidRPr="004C6ACE">
              <w:rPr>
                <w:rFonts w:ascii="Arial (Hebrew)" w:eastAsia="Times New Roman" w:hAnsi="Arial (Hebrew)" w:cs="Arial (Hebrew)"/>
                <w:color w:val="000000"/>
                <w:sz w:val="24"/>
                <w:szCs w:val="24"/>
                <w:rtl/>
              </w:rPr>
              <w:t>טיבותא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דארץ</w:t>
            </w:r>
            <w:proofErr w:type="spellEnd"/>
            <w:r w:rsidRPr="004C6ACE">
              <w:rPr>
                <w:rFonts w:ascii="Arial (Hebrew)" w:eastAsia="Times New Roman" w:hAnsi="Arial (Hebrew)" w:cs="Arial (Hebrew)"/>
                <w:color w:val="000000"/>
                <w:sz w:val="24"/>
                <w:szCs w:val="24"/>
                <w:rtl/>
              </w:rPr>
              <w:t xml:space="preserve"> ישראל </w:t>
            </w:r>
            <w:proofErr w:type="spellStart"/>
            <w:r w:rsidRPr="004C6ACE">
              <w:rPr>
                <w:rFonts w:ascii="Arial (Hebrew)" w:eastAsia="Times New Roman" w:hAnsi="Arial (Hebrew)" w:cs="Arial (Hebrew)"/>
                <w:color w:val="000000"/>
                <w:sz w:val="24"/>
                <w:szCs w:val="24"/>
                <w:rtl/>
              </w:rPr>
              <w:t>קמגיירי</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והשתא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נמי</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דליכא</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טיבותא</w:t>
            </w:r>
            <w:proofErr w:type="spellEnd"/>
            <w:r w:rsidRPr="004C6ACE">
              <w:rPr>
                <w:rFonts w:ascii="Arial (Hebrew)" w:eastAsia="Times New Roman" w:hAnsi="Arial (Hebrew)" w:cs="Arial (Hebrew)"/>
                <w:color w:val="000000"/>
                <w:sz w:val="24"/>
                <w:szCs w:val="24"/>
                <w:rtl/>
              </w:rPr>
              <w:t xml:space="preserve">, איכא לקט שכחה ופאה ומעשר עני, </w:t>
            </w:r>
            <w:proofErr w:type="spellStart"/>
            <w:r w:rsidRPr="004C6ACE">
              <w:rPr>
                <w:rFonts w:ascii="Arial (Hebrew)" w:eastAsia="Times New Roman" w:hAnsi="Arial (Hebrew)" w:cs="Arial (Hebrew)"/>
                <w:color w:val="000000"/>
                <w:sz w:val="24"/>
                <w:szCs w:val="24"/>
                <w:rtl/>
              </w:rPr>
              <w:t>קמ"ל</w:t>
            </w:r>
            <w:proofErr w:type="spellEnd"/>
            <w:r w:rsidRPr="004C6ACE">
              <w:rPr>
                <w:rFonts w:ascii="Arial (Hebrew)" w:eastAsia="Times New Roman" w:hAnsi="Arial (Hebrew)" w:cs="Arial (Hebrew)"/>
                <w:color w:val="000000"/>
                <w:sz w:val="24"/>
                <w:szCs w:val="24"/>
                <w:rtl/>
              </w:rPr>
              <w:t xml:space="preserve">.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proofErr w:type="spellStart"/>
            <w:r w:rsidRPr="004C6ACE">
              <w:rPr>
                <w:rFonts w:ascii="Arial (Hebrew)" w:eastAsia="Times New Roman" w:hAnsi="Arial (Hebrew)" w:cs="Arial (Hebrew)"/>
                <w:color w:val="000000"/>
                <w:sz w:val="24"/>
                <w:szCs w:val="24"/>
                <w:rtl/>
              </w:rPr>
              <w:t>א"ר</w:t>
            </w:r>
            <w:proofErr w:type="spellEnd"/>
            <w:r w:rsidRPr="004C6ACE">
              <w:rPr>
                <w:rFonts w:ascii="Arial (Hebrew)" w:eastAsia="Times New Roman" w:hAnsi="Arial (Hebrew)" w:cs="Arial (Hebrew)"/>
                <w:color w:val="000000"/>
                <w:sz w:val="24"/>
                <w:szCs w:val="24"/>
                <w:rtl/>
              </w:rPr>
              <w:t xml:space="preserve">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אמר ר' יוחנן, הלכה: בין בארץ בין בח"ל, צריך להביא ראיה.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פשיטא, יחיד ורבים הלכה כרבים!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מהו </w:t>
            </w:r>
            <w:proofErr w:type="spellStart"/>
            <w:r w:rsidRPr="004C6ACE">
              <w:rPr>
                <w:rFonts w:ascii="Arial (Hebrew)" w:eastAsia="Times New Roman" w:hAnsi="Arial (Hebrew)" w:cs="Arial (Hebrew)"/>
                <w:color w:val="000000"/>
                <w:sz w:val="24"/>
                <w:szCs w:val="24"/>
                <w:rtl/>
              </w:rPr>
              <w:t>דתימא</w:t>
            </w:r>
            <w:proofErr w:type="spellEnd"/>
            <w:r w:rsidRPr="004C6ACE">
              <w:rPr>
                <w:rFonts w:ascii="Arial (Hebrew)" w:eastAsia="Times New Roman" w:hAnsi="Arial (Hebrew)" w:cs="Arial (Hebrew)"/>
                <w:color w:val="000000"/>
                <w:sz w:val="24"/>
                <w:szCs w:val="24"/>
                <w:rtl/>
              </w:rPr>
              <w:t xml:space="preserve"> מסתבר טעמא דרבי יהודה, </w:t>
            </w:r>
            <w:proofErr w:type="spellStart"/>
            <w:r w:rsidRPr="004C6ACE">
              <w:rPr>
                <w:rFonts w:ascii="Arial (Hebrew)" w:eastAsia="Times New Roman" w:hAnsi="Arial (Hebrew)" w:cs="Arial (Hebrew)"/>
                <w:color w:val="000000"/>
                <w:sz w:val="24"/>
                <w:szCs w:val="24"/>
                <w:rtl/>
              </w:rPr>
              <w:t>דקמסייעי</w:t>
            </w:r>
            <w:proofErr w:type="spellEnd"/>
            <w:r w:rsidRPr="004C6ACE">
              <w:rPr>
                <w:rFonts w:ascii="Arial (Hebrew)" w:eastAsia="Times New Roman" w:hAnsi="Arial (Hebrew)" w:cs="Arial (Hebrew)"/>
                <w:color w:val="000000"/>
                <w:sz w:val="24"/>
                <w:szCs w:val="24"/>
                <w:rtl/>
              </w:rPr>
              <w:t xml:space="preserve"> ליה קראי, </w:t>
            </w:r>
            <w:proofErr w:type="spellStart"/>
            <w:r w:rsidRPr="004C6ACE">
              <w:rPr>
                <w:rFonts w:ascii="Arial (Hebrew)" w:eastAsia="Times New Roman" w:hAnsi="Arial (Hebrew)" w:cs="Arial (Hebrew)"/>
                <w:color w:val="000000"/>
                <w:sz w:val="24"/>
                <w:szCs w:val="24"/>
                <w:rtl/>
              </w:rPr>
              <w:t>קמ"ל</w:t>
            </w:r>
            <w:proofErr w:type="spellEnd"/>
            <w:r w:rsidRPr="004C6ACE">
              <w:rPr>
                <w:rFonts w:ascii="Arial (Hebrew)" w:eastAsia="Times New Roman" w:hAnsi="Arial (Hebrew)" w:cs="Arial (Hebrew)"/>
                <w:color w:val="000000"/>
                <w:sz w:val="24"/>
                <w:szCs w:val="24"/>
                <w:rtl/>
              </w:rPr>
              <w:t>.</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שואלת הגמרא: הרי מן המלה "אתך" כבר הוצאנו מדרש? (במוחזק לך)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עונה הגמרא דבר אחד אנו לומדים מן המלה "אתך" ודבר אחד אנו לומדים מן המלה "עמך" (ויקרא כ"ה)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וחכמים אומרים: בין בא"י ובין בחו"ל צריך הגר להביא ראיה שנתגייר. ושוב שואלים, </w:t>
            </w:r>
            <w:r w:rsidRPr="004C6ACE">
              <w:rPr>
                <w:rFonts w:ascii="Arial (Hebrew)" w:eastAsia="Times New Roman" w:hAnsi="Arial (Hebrew)" w:cs="Arial (Hebrew)"/>
                <w:color w:val="000000"/>
                <w:sz w:val="24"/>
                <w:szCs w:val="24"/>
                <w:rtl/>
              </w:rPr>
              <w:lastRenderedPageBreak/>
              <w:t>כיצד זה יתכן הרי כתוב "בארץ"? ומשיבים כי מלה זו באה לומר שאפילו בארץ מקבלים גרים, כי יכולת לומר שבארץ ישראל הגוי יבוא להתגייר מתוך אינטרס, מפני טובתה של א"י, ובכל זאת נקבל אותו.</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ובימינו (בתקופת התלמוד) כשהארץ לא כל כך טובה, יש בה בכל זאת משהו טוב והוא עניין מתנות העניים, ולכן הארץ טובה במשהו בהשוואה לחו"ל.</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רבי </w:t>
            </w:r>
            <w:proofErr w:type="spellStart"/>
            <w:r w:rsidRPr="004C6ACE">
              <w:rPr>
                <w:rFonts w:ascii="Arial (Hebrew)" w:eastAsia="Times New Roman" w:hAnsi="Arial (Hebrew)" w:cs="Arial (Hebrew)"/>
                <w:color w:val="000000"/>
                <w:sz w:val="24"/>
                <w:szCs w:val="24"/>
                <w:rtl/>
              </w:rPr>
              <w:t>חייא</w:t>
            </w:r>
            <w:proofErr w:type="spellEnd"/>
            <w:r w:rsidRPr="004C6ACE">
              <w:rPr>
                <w:rFonts w:ascii="Arial (Hebrew)" w:eastAsia="Times New Roman" w:hAnsi="Arial (Hebrew)" w:cs="Arial (Hebrew)"/>
                <w:color w:val="000000"/>
                <w:sz w:val="24"/>
                <w:szCs w:val="24"/>
                <w:rtl/>
              </w:rPr>
              <w:t xml:space="preserve"> בר אבא בשם רבי יוחנן: זוהי הלכה שצריך להביא ראיה בין בארץ ובין בחו"ל.</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מעירה הגמרא, הרי זה מובן מאליו הרי כך אומרים חכמים והם רבים אז הלכה כמותם?</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עונה הגמרא שהיינו עלולים לחשוב כי ההלכה כרבי יהודה מאחר והוא מביא מקראות מן התורה, לכן שבה הגמרא ומדגישה שבכל זאת ההלכה כחכמים!</w:t>
            </w:r>
          </w:p>
        </w:tc>
      </w:tr>
      <w:tr w:rsidR="004C6ACE" w:rsidRPr="004C6ACE" w:rsidTr="004C6ACE">
        <w:tc>
          <w:tcPr>
            <w:tcW w:w="4094"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lastRenderedPageBreak/>
              <w:t xml:space="preserve">ת"ר: (דברים א') ושפטתם צדק בין איש ובין אחיו ובין גרו - מכאן </w:t>
            </w:r>
            <w:proofErr w:type="spellStart"/>
            <w:r w:rsidRPr="004C6ACE">
              <w:rPr>
                <w:rFonts w:ascii="Arial (Hebrew)" w:eastAsia="Times New Roman" w:hAnsi="Arial (Hebrew)" w:cs="Arial (Hebrew)"/>
                <w:color w:val="000000"/>
                <w:sz w:val="24"/>
                <w:szCs w:val="24"/>
                <w:rtl/>
              </w:rPr>
              <w:t>א"ר</w:t>
            </w:r>
            <w:proofErr w:type="spellEnd"/>
            <w:r w:rsidRPr="004C6ACE">
              <w:rPr>
                <w:rFonts w:ascii="Arial (Hebrew)" w:eastAsia="Times New Roman" w:hAnsi="Arial (Hebrew)" w:cs="Arial (Hebrew)"/>
                <w:color w:val="000000"/>
                <w:sz w:val="24"/>
                <w:szCs w:val="24"/>
                <w:rtl/>
              </w:rPr>
              <w:t xml:space="preserve"> יהודה: גר שנתגייר </w:t>
            </w:r>
            <w:proofErr w:type="spellStart"/>
            <w:r w:rsidRPr="004C6ACE">
              <w:rPr>
                <w:rFonts w:ascii="Arial (Hebrew)" w:eastAsia="Times New Roman" w:hAnsi="Arial (Hebrew)" w:cs="Arial (Hebrew)"/>
                <w:color w:val="000000"/>
                <w:sz w:val="24"/>
                <w:szCs w:val="24"/>
                <w:rtl/>
              </w:rPr>
              <w:t>בב"ד</w:t>
            </w:r>
            <w:proofErr w:type="spellEnd"/>
            <w:r w:rsidRPr="004C6ACE">
              <w:rPr>
                <w:rFonts w:ascii="Arial (Hebrew)" w:eastAsia="Times New Roman" w:hAnsi="Arial (Hebrew)" w:cs="Arial (Hebrew)"/>
                <w:color w:val="000000"/>
                <w:sz w:val="24"/>
                <w:szCs w:val="24"/>
                <w:rtl/>
              </w:rPr>
              <w:t xml:space="preserve"> - הרי זה גר, בינו לבין עצמו - אינו גר.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מעשה באחד שבא לפני רבי יהודה, ואמר לו: </w:t>
            </w:r>
            <w:proofErr w:type="spellStart"/>
            <w:r w:rsidRPr="004C6ACE">
              <w:rPr>
                <w:rFonts w:ascii="Arial (Hebrew)" w:eastAsia="Times New Roman" w:hAnsi="Arial (Hebrew)" w:cs="Arial (Hebrew)"/>
                <w:color w:val="000000"/>
                <w:sz w:val="24"/>
                <w:szCs w:val="24"/>
                <w:rtl/>
              </w:rPr>
              <w:t>נתגיירתי</w:t>
            </w:r>
            <w:proofErr w:type="spellEnd"/>
            <w:r w:rsidRPr="004C6ACE">
              <w:rPr>
                <w:rFonts w:ascii="Arial (Hebrew)" w:eastAsia="Times New Roman" w:hAnsi="Arial (Hebrew)" w:cs="Arial (Hebrew)"/>
                <w:color w:val="000000"/>
                <w:sz w:val="24"/>
                <w:szCs w:val="24"/>
                <w:rtl/>
              </w:rPr>
              <w:t xml:space="preserve"> ביני לבין עצמי,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א"ל רבי יהודה: יש לך עדים?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אמר ליה: לאו.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יש לך בנים?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א"ל: הן.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א"ל: נאמן אתה לפסול את עצמך,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ואי אתה נאמן לפסול את בניך.</w:t>
            </w:r>
          </w:p>
        </w:tc>
        <w:tc>
          <w:tcPr>
            <w:tcW w:w="3960" w:type="dxa"/>
            <w:tcBorders>
              <w:top w:val="single" w:sz="6" w:space="0" w:color="6B7ECE"/>
              <w:left w:val="single" w:sz="6" w:space="0" w:color="6B7ECE"/>
              <w:bottom w:val="single" w:sz="6" w:space="0" w:color="6B7ECE"/>
              <w:right w:val="single" w:sz="6" w:space="0" w:color="6B7ECE"/>
            </w:tcBorders>
            <w:shd w:val="clear" w:color="auto" w:fill="auto"/>
            <w:hideMark/>
          </w:tcPr>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למדו חכמים (בברייתא) כתוב בדברים "ושפטתם צדק בין איש ובין אחיו ובין גרו" מכאן לומד רבי יהודה כי רק גר שנתגייר בבית דין הוא גר ואילו גר שנתגייר בעצמו איננו גר.</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מעשה באדם שבא לפני רבי יהודה ואמר לו "התגיירתי ביני לבין עצמי" כלומר לשיטת רבי יהודה ההתגיירות שלו תהיה פסולה.</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שאל אותו רבי יהודה: האם יש לך עדים כי לא התגיירת בבית דין? ענה לו הגר, לא.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 xml:space="preserve">שאל אותו רבי יהודה: האם יש לך בנים? </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אמר לו הגר, כן.</w:t>
            </w:r>
          </w:p>
          <w:p w:rsidR="004C6ACE" w:rsidRPr="004C6ACE" w:rsidRDefault="004C6ACE" w:rsidP="00EB4ABF">
            <w:pPr>
              <w:spacing w:after="0" w:line="240" w:lineRule="auto"/>
              <w:rPr>
                <w:rFonts w:ascii="Arial (Hebrew)" w:eastAsia="Times New Roman" w:hAnsi="Arial (Hebrew)" w:cs="Arial (Hebrew)"/>
                <w:color w:val="000000"/>
                <w:sz w:val="24"/>
                <w:szCs w:val="24"/>
                <w:rtl/>
              </w:rPr>
            </w:pPr>
            <w:r w:rsidRPr="004C6ACE">
              <w:rPr>
                <w:rFonts w:ascii="Arial (Hebrew)" w:eastAsia="Times New Roman" w:hAnsi="Arial (Hebrew)" w:cs="Arial (Hebrew)"/>
                <w:color w:val="000000"/>
                <w:sz w:val="24"/>
                <w:szCs w:val="24"/>
                <w:rtl/>
              </w:rPr>
              <w:t>אמר לו רבי יהודה: אתה יכול לפסול את עצמך אבל אינך יכול לפסול את בניך, לכן אני לא מקבל את טיעונך כי התגיירותך אינה התגיירות!</w:t>
            </w:r>
          </w:p>
        </w:tc>
      </w:tr>
    </w:tbl>
    <w:p w:rsidR="004C6ACE" w:rsidRPr="004C6ACE" w:rsidRDefault="004C6ACE" w:rsidP="00EB4ABF"/>
    <w:sectPr w:rsidR="004C6ACE" w:rsidRPr="004C6ACE" w:rsidSect="00D558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Hebrew)">
    <w:charset w:val="00"/>
    <w:family w:val="swiss"/>
    <w:pitch w:val="variable"/>
    <w:sig w:usb0="E0002E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74"/>
    <w:rsid w:val="000E5A3C"/>
    <w:rsid w:val="002D6C74"/>
    <w:rsid w:val="003F1D8B"/>
    <w:rsid w:val="004451CB"/>
    <w:rsid w:val="004C6ACE"/>
    <w:rsid w:val="00770AEB"/>
    <w:rsid w:val="00A54E11"/>
    <w:rsid w:val="00D55896"/>
    <w:rsid w:val="00EB4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BD99"/>
  <w15:chartTrackingRefBased/>
  <w15:docId w15:val="{61134267-F180-4606-A209-D03CE234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275239">
      <w:bodyDiv w:val="1"/>
      <w:marLeft w:val="0"/>
      <w:marRight w:val="0"/>
      <w:marTop w:val="0"/>
      <w:marBottom w:val="0"/>
      <w:divBdr>
        <w:top w:val="inset" w:sz="12" w:space="0" w:color="auto"/>
        <w:left w:val="inset" w:sz="12" w:space="0" w:color="auto"/>
        <w:bottom w:val="inset" w:sz="12" w:space="0" w:color="auto"/>
        <w:right w:val="inset" w:sz="12"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1968</Words>
  <Characters>9844</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מרב ג'רפי הוכמיץ</dc:creator>
  <cp:keywords/>
  <dc:description/>
  <cp:lastModifiedBy>מרב ג'רפי הוכמיץ</cp:lastModifiedBy>
  <cp:revision>4</cp:revision>
  <dcterms:created xsi:type="dcterms:W3CDTF">2022-07-18T08:36:00Z</dcterms:created>
  <dcterms:modified xsi:type="dcterms:W3CDTF">2023-05-22T08:20:00Z</dcterms:modified>
</cp:coreProperties>
</file>