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4E" w:rsidRPr="00DD318B" w:rsidRDefault="00D65C4E" w:rsidP="00D65C4E">
      <w:pPr>
        <w:tabs>
          <w:tab w:val="left" w:pos="432"/>
          <w:tab w:val="left" w:pos="515"/>
          <w:tab w:val="left" w:pos="720"/>
          <w:tab w:val="left" w:pos="1007"/>
          <w:tab w:val="left" w:pos="1440"/>
          <w:tab w:val="left" w:pos="2880"/>
          <w:tab w:val="left" w:pos="4320"/>
          <w:tab w:val="left" w:pos="5760"/>
          <w:tab w:val="left" w:pos="7745"/>
        </w:tabs>
        <w:spacing w:line="360" w:lineRule="auto"/>
        <w:ind w:left="-52" w:right="709"/>
        <w:rPr>
          <w:rFonts w:ascii="Arial" w:hAnsi="Arial" w:cs="Arial"/>
          <w:b/>
          <w:bCs/>
          <w:sz w:val="36"/>
          <w:szCs w:val="36"/>
          <w:rtl/>
        </w:rPr>
      </w:pPr>
      <w:bookmarkStart w:id="0" w:name="_GoBack"/>
      <w:bookmarkEnd w:id="0"/>
      <w:r w:rsidRPr="00DD318B">
        <w:rPr>
          <w:rFonts w:ascii="Arial" w:hAnsi="Arial" w:cs="Arial"/>
          <w:b/>
          <w:bCs/>
          <w:sz w:val="36"/>
          <w:szCs w:val="36"/>
          <w:rtl/>
        </w:rPr>
        <w:t>ד. מדריך  למורה</w:t>
      </w:r>
    </w:p>
    <w:p w:rsidR="00D65C4E" w:rsidRPr="00DD318B" w:rsidRDefault="00D65C4E" w:rsidP="00D65C4E">
      <w:pPr>
        <w:tabs>
          <w:tab w:val="left" w:pos="432"/>
          <w:tab w:val="left" w:pos="515"/>
          <w:tab w:val="left" w:pos="720"/>
          <w:tab w:val="left" w:pos="1007"/>
          <w:tab w:val="left" w:pos="1440"/>
          <w:tab w:val="left" w:pos="2880"/>
          <w:tab w:val="left" w:pos="4320"/>
          <w:tab w:val="left" w:pos="5760"/>
          <w:tab w:val="left" w:pos="7745"/>
        </w:tabs>
        <w:spacing w:line="360" w:lineRule="auto"/>
        <w:ind w:left="-52" w:right="709"/>
        <w:jc w:val="both"/>
        <w:rPr>
          <w:rFonts w:ascii="Arial" w:hAnsi="Arial" w:cs="Arial"/>
          <w:sz w:val="28"/>
          <w:rtl/>
        </w:rPr>
      </w:pPr>
      <w:r w:rsidRPr="00DD318B">
        <w:rPr>
          <w:rFonts w:ascii="Arial" w:hAnsi="Arial" w:cs="Arial"/>
          <w:sz w:val="28"/>
          <w:rtl/>
        </w:rPr>
        <w:t>בדיון כדאי להתחיל ממאפייני הדמויות ומניתוח המאורעות שמעלה ההצגה, ואחר כך להמשיך לעקרונות כלליים. מתוך ניסיוננו בכיתה ראינו שעשוי להתפתח כאן דיון פורה. בין השאר יעלו התלמידים שאלות הקשורות בשיטות הוראה</w:t>
      </w:r>
      <w:r>
        <w:rPr>
          <w:rFonts w:ascii="Arial" w:hAnsi="Arial" w:cs="Arial" w:hint="cs"/>
          <w:sz w:val="28"/>
          <w:rtl/>
        </w:rPr>
        <w:t xml:space="preserve"> ובמשטר הנהוג בבית הספר,</w:t>
      </w:r>
      <w:r w:rsidRPr="00DD318B">
        <w:rPr>
          <w:rFonts w:ascii="Arial" w:hAnsi="Arial" w:cs="Arial"/>
          <w:sz w:val="28"/>
          <w:rtl/>
        </w:rPr>
        <w:t xml:space="preserve"> ותעלה השאלה אם בית הספר הוא מוסד דמוקרטי.  חלק מהתלמידים יטענו ששיטתו של המורה מעוררת מוטיבציה, מעודדת תחרות לימודית חיובית, ויוצרת גיבוש חברתי. לכאורה, השיטה משיגה יעדים חינוכיים ולימודיים, ועומדת בהצלחה בכל הקריטריונים שמשרד החינוך מציג בפני המורים. אבל יהיו תלמידים שיטענו </w:t>
      </w:r>
      <w:r>
        <w:rPr>
          <w:rFonts w:ascii="Arial" w:hAnsi="Arial" w:cs="Arial" w:hint="cs"/>
          <w:sz w:val="28"/>
          <w:rtl/>
        </w:rPr>
        <w:t xml:space="preserve">(כפי שטענה רונה) </w:t>
      </w:r>
      <w:r w:rsidRPr="00DD318B">
        <w:rPr>
          <w:rFonts w:ascii="Arial" w:hAnsi="Arial" w:cs="Arial"/>
          <w:sz w:val="28"/>
          <w:rtl/>
        </w:rPr>
        <w:t xml:space="preserve">ששיטת הלימוד של המורה היא דרך של כפייה, מדכאת מחשבה, וגובה מחיר כבד מהתלמידים. גישה זו מתחזקת  בעיקר על סמך חלקה האחרון של ההצגה, כשתמונתו של היטלר עולה על המסך.    </w:t>
      </w:r>
    </w:p>
    <w:p w:rsidR="00D65C4E" w:rsidRPr="00DD318B" w:rsidRDefault="00D65C4E" w:rsidP="00D65C4E">
      <w:pPr>
        <w:tabs>
          <w:tab w:val="left" w:pos="432"/>
          <w:tab w:val="left" w:pos="515"/>
          <w:tab w:val="left" w:pos="720"/>
          <w:tab w:val="left" w:pos="1007"/>
          <w:tab w:val="left" w:pos="1440"/>
          <w:tab w:val="left" w:pos="2880"/>
          <w:tab w:val="left" w:pos="4320"/>
          <w:tab w:val="left" w:pos="5760"/>
          <w:tab w:val="left" w:pos="7745"/>
        </w:tabs>
        <w:spacing w:line="360" w:lineRule="auto"/>
        <w:ind w:left="-52" w:right="709"/>
        <w:jc w:val="both"/>
        <w:rPr>
          <w:rFonts w:ascii="Arial" w:hAnsi="Arial" w:cs="Arial"/>
          <w:sz w:val="28"/>
          <w:rtl/>
        </w:rPr>
      </w:pPr>
      <w:r w:rsidRPr="00DD318B">
        <w:rPr>
          <w:rFonts w:ascii="Arial" w:hAnsi="Arial" w:cs="Arial"/>
          <w:sz w:val="28"/>
          <w:rtl/>
        </w:rPr>
        <w:t>ניתוח דמותו של רובי, התלמיד הדחוי והחריג, מעלה את השאלה: "האם תיתכן חירות מתוך ציות?" התשובות לשאלות שיציעו התלמידים כאן אינן חד-משמעיות. יש להניח שתלמידים שונים יעלו פתרונות שונים ומנוגדים.</w:t>
      </w:r>
    </w:p>
    <w:p w:rsidR="00D65C4E" w:rsidRPr="00DD318B" w:rsidRDefault="00D65C4E" w:rsidP="00D65C4E">
      <w:pPr>
        <w:tabs>
          <w:tab w:val="left" w:pos="515"/>
          <w:tab w:val="left" w:pos="720"/>
          <w:tab w:val="left" w:pos="1440"/>
          <w:tab w:val="left" w:pos="5616"/>
          <w:tab w:val="left" w:pos="7745"/>
        </w:tabs>
        <w:spacing w:line="360" w:lineRule="auto"/>
        <w:ind w:left="-52" w:right="709"/>
        <w:jc w:val="both"/>
        <w:rPr>
          <w:rFonts w:ascii="Arial" w:hAnsi="Arial" w:cs="Arial"/>
          <w:sz w:val="28"/>
          <w:rtl/>
        </w:rPr>
      </w:pPr>
      <w:r w:rsidRPr="00DD318B">
        <w:rPr>
          <w:rFonts w:ascii="Arial" w:hAnsi="Arial" w:cs="Arial"/>
          <w:sz w:val="28"/>
          <w:rtl/>
        </w:rPr>
        <w:t xml:space="preserve">ההצגה מביאה את המאבק בין שתי מסורות דמוקרטיות: המסורת הליברלית  המדגישה את חירויות הפרט, מול </w:t>
      </w:r>
      <w:r>
        <w:rPr>
          <w:rFonts w:ascii="Arial" w:hAnsi="Arial" w:cs="Arial" w:hint="cs"/>
          <w:sz w:val="28"/>
          <w:rtl/>
        </w:rPr>
        <w:t>ה</w:t>
      </w:r>
      <w:r w:rsidRPr="00DD318B">
        <w:rPr>
          <w:rFonts w:ascii="Arial" w:hAnsi="Arial" w:cs="Arial"/>
          <w:sz w:val="28"/>
          <w:rtl/>
        </w:rPr>
        <w:t xml:space="preserve">מסורת </w:t>
      </w:r>
      <w:r>
        <w:rPr>
          <w:rFonts w:ascii="Arial" w:hAnsi="Arial" w:cs="Arial" w:hint="cs"/>
          <w:sz w:val="28"/>
          <w:rtl/>
        </w:rPr>
        <w:t>המדגישה את טובת הכלל  ותומכת בריבונות הקהילה.</w:t>
      </w:r>
      <w:r w:rsidRPr="00DD318B">
        <w:rPr>
          <w:rFonts w:ascii="Arial" w:hAnsi="Arial" w:cs="Arial"/>
          <w:sz w:val="28"/>
          <w:rtl/>
        </w:rPr>
        <w:t xml:space="preserve"> המסורת הליברלית מיוצגת על ידי חברתו של אדם,</w:t>
      </w:r>
      <w:r>
        <w:rPr>
          <w:rFonts w:ascii="Arial" w:hAnsi="Arial" w:cs="Arial" w:hint="cs"/>
          <w:sz w:val="28"/>
          <w:rtl/>
        </w:rPr>
        <w:t xml:space="preserve"> </w:t>
      </w:r>
      <w:r>
        <w:rPr>
          <w:rFonts w:ascii="Arial" w:hAnsi="Arial" w:cs="Arial"/>
          <w:sz w:val="28"/>
          <w:rtl/>
        </w:rPr>
        <w:t>ה</w:t>
      </w:r>
      <w:r>
        <w:rPr>
          <w:rFonts w:ascii="Arial" w:hAnsi="Arial" w:cs="Arial" w:hint="cs"/>
          <w:sz w:val="28"/>
          <w:rtl/>
        </w:rPr>
        <w:t>מצדדת ב</w:t>
      </w:r>
      <w:r w:rsidRPr="00DD318B">
        <w:rPr>
          <w:rFonts w:ascii="Arial" w:hAnsi="Arial" w:cs="Arial"/>
          <w:sz w:val="28"/>
          <w:rtl/>
        </w:rPr>
        <w:t>ייחודו של הפרט ו</w:t>
      </w:r>
      <w:r>
        <w:rPr>
          <w:rFonts w:ascii="Arial" w:hAnsi="Arial" w:cs="Arial" w:hint="cs"/>
          <w:sz w:val="28"/>
          <w:rtl/>
        </w:rPr>
        <w:t>ב</w:t>
      </w:r>
      <w:r w:rsidRPr="00DD318B">
        <w:rPr>
          <w:rFonts w:ascii="Arial" w:hAnsi="Arial" w:cs="Arial"/>
          <w:sz w:val="28"/>
          <w:rtl/>
        </w:rPr>
        <w:t>טיפוח האינדיבידואליזם</w:t>
      </w:r>
      <w:r>
        <w:rPr>
          <w:rFonts w:ascii="Arial" w:hAnsi="Arial" w:cs="Arial" w:hint="cs"/>
          <w:sz w:val="28"/>
          <w:rtl/>
        </w:rPr>
        <w:t>,</w:t>
      </w:r>
      <w:r w:rsidRPr="00DD318B">
        <w:rPr>
          <w:rFonts w:ascii="Arial" w:hAnsi="Arial" w:cs="Arial"/>
          <w:sz w:val="28"/>
          <w:rtl/>
        </w:rPr>
        <w:t xml:space="preserve"> בעוד שאדם ורובי מייצגים את המסורת המדגישה את טובת הכלל. מסורת זו </w:t>
      </w:r>
      <w:r>
        <w:rPr>
          <w:rFonts w:ascii="Arial" w:hAnsi="Arial" w:cs="Arial" w:hint="cs"/>
          <w:sz w:val="28"/>
          <w:rtl/>
        </w:rPr>
        <w:t>מהווה פתח לעריצות הרוב ולמדרון חלקלק המוביל להידרדרות למשטר טוטליטרי</w:t>
      </w:r>
      <w:r w:rsidRPr="00DD318B">
        <w:rPr>
          <w:rFonts w:ascii="Arial" w:hAnsi="Arial" w:cs="Arial"/>
          <w:sz w:val="28"/>
          <w:rtl/>
        </w:rPr>
        <w:t xml:space="preserve">. </w:t>
      </w:r>
    </w:p>
    <w:p w:rsidR="00D65C4E" w:rsidRPr="00DD318B" w:rsidRDefault="00D65C4E" w:rsidP="00D65C4E">
      <w:pPr>
        <w:tabs>
          <w:tab w:val="left" w:pos="515"/>
          <w:tab w:val="left" w:pos="720"/>
          <w:tab w:val="left" w:pos="1440"/>
          <w:tab w:val="left" w:pos="5616"/>
          <w:tab w:val="left" w:pos="7745"/>
        </w:tabs>
        <w:spacing w:line="360" w:lineRule="auto"/>
        <w:ind w:left="-52" w:right="709"/>
        <w:jc w:val="both"/>
        <w:rPr>
          <w:rFonts w:ascii="Arial" w:hAnsi="Arial" w:cs="Arial"/>
          <w:sz w:val="28"/>
          <w:rtl/>
        </w:rPr>
      </w:pPr>
      <w:r w:rsidRPr="00DD318B">
        <w:rPr>
          <w:rFonts w:ascii="Arial" w:hAnsi="Arial" w:cs="Arial"/>
          <w:sz w:val="28"/>
          <w:rtl/>
        </w:rPr>
        <w:t>העיקרון המשותף לשתי המסורות הוא, כביכול, ההכרה בריבונות העם</w:t>
      </w:r>
      <w:r>
        <w:rPr>
          <w:rFonts w:ascii="Arial" w:hAnsi="Arial" w:cs="Arial" w:hint="cs"/>
          <w:sz w:val="28"/>
          <w:rtl/>
        </w:rPr>
        <w:t>, המתבטאת בין השאר בהליכה לבחירות, א</w:t>
      </w:r>
      <w:r w:rsidRPr="00DD318B">
        <w:rPr>
          <w:rFonts w:ascii="Arial" w:hAnsi="Arial" w:cs="Arial"/>
          <w:sz w:val="28"/>
          <w:rtl/>
        </w:rPr>
        <w:t xml:space="preserve">לא שבמשטר טוטליטרי ריבונות העם היא למעשה פיקציה, כי אין לעם אפשרות לבטא את עצמו באמצעות התארגנות קהילתית, </w:t>
      </w:r>
      <w:r>
        <w:rPr>
          <w:rFonts w:ascii="Arial" w:hAnsi="Arial" w:cs="Arial" w:hint="cs"/>
          <w:sz w:val="28"/>
          <w:rtl/>
        </w:rPr>
        <w:t xml:space="preserve">התארגנות </w:t>
      </w:r>
      <w:r w:rsidRPr="00DD318B">
        <w:rPr>
          <w:rFonts w:ascii="Arial" w:hAnsi="Arial" w:cs="Arial"/>
          <w:sz w:val="28"/>
          <w:rtl/>
        </w:rPr>
        <w:t>מפלגתית, או במסגרת מוסדית אחרת</w:t>
      </w:r>
      <w:r>
        <w:rPr>
          <w:rFonts w:ascii="Arial" w:hAnsi="Arial" w:cs="Arial" w:hint="cs"/>
          <w:sz w:val="28"/>
          <w:rtl/>
        </w:rPr>
        <w:t>.</w:t>
      </w:r>
      <w:r w:rsidRPr="00DD318B">
        <w:rPr>
          <w:rFonts w:ascii="Arial" w:hAnsi="Arial" w:cs="Arial"/>
          <w:sz w:val="28"/>
          <w:rtl/>
        </w:rPr>
        <w:t xml:space="preserve"> בעוד שבמשטר דמוקרטי יש לריבונות  העם משמעות ריאלית, כי באמצעותה ניתן לעם לבטא דעות והשקפות </w:t>
      </w:r>
      <w:r>
        <w:rPr>
          <w:rFonts w:ascii="Arial" w:hAnsi="Arial" w:cs="Arial" w:hint="cs"/>
          <w:sz w:val="28"/>
          <w:rtl/>
        </w:rPr>
        <w:t xml:space="preserve">המנוגדות לערכי </w:t>
      </w:r>
      <w:r>
        <w:rPr>
          <w:rFonts w:ascii="Arial" w:hAnsi="Arial" w:cs="Arial" w:hint="cs"/>
          <w:sz w:val="28"/>
          <w:rtl/>
        </w:rPr>
        <w:lastRenderedPageBreak/>
        <w:t xml:space="preserve">המשטר ולהתארגן </w:t>
      </w:r>
      <w:r w:rsidRPr="00DD318B">
        <w:rPr>
          <w:rFonts w:ascii="Arial" w:hAnsi="Arial" w:cs="Arial"/>
          <w:sz w:val="28"/>
          <w:rtl/>
        </w:rPr>
        <w:t>בדרך מוסדית של קיום מפלגות וקבוצות השפעה אחרות, וכך להשפיע על השלטון. לכן גם</w:t>
      </w:r>
      <w:r>
        <w:rPr>
          <w:rFonts w:ascii="Arial" w:hAnsi="Arial" w:cs="Arial" w:hint="cs"/>
          <w:sz w:val="28"/>
          <w:rtl/>
        </w:rPr>
        <w:t xml:space="preserve"> המורה וגם </w:t>
      </w:r>
      <w:r w:rsidRPr="00DD318B">
        <w:rPr>
          <w:rFonts w:ascii="Arial" w:hAnsi="Arial" w:cs="Arial"/>
          <w:sz w:val="28"/>
          <w:rtl/>
        </w:rPr>
        <w:t xml:space="preserve"> </w:t>
      </w:r>
      <w:r>
        <w:rPr>
          <w:rFonts w:ascii="Arial" w:hAnsi="Arial" w:cs="Arial" w:hint="cs"/>
          <w:sz w:val="28"/>
          <w:rtl/>
        </w:rPr>
        <w:t xml:space="preserve">רונה, </w:t>
      </w:r>
      <w:r w:rsidRPr="00DD318B">
        <w:rPr>
          <w:rFonts w:ascii="Arial" w:hAnsi="Arial" w:cs="Arial"/>
          <w:sz w:val="28"/>
          <w:rtl/>
        </w:rPr>
        <w:t>הנערה</w:t>
      </w:r>
      <w:r>
        <w:rPr>
          <w:rFonts w:ascii="Arial" w:hAnsi="Arial" w:cs="Arial" w:hint="cs"/>
          <w:sz w:val="28"/>
          <w:rtl/>
        </w:rPr>
        <w:t xml:space="preserve"> האינדיבידואליסטית</w:t>
      </w:r>
      <w:r w:rsidRPr="00DD318B">
        <w:rPr>
          <w:rFonts w:ascii="Arial" w:hAnsi="Arial" w:cs="Arial"/>
          <w:sz w:val="28"/>
          <w:rtl/>
        </w:rPr>
        <w:t xml:space="preserve"> החושבת</w:t>
      </w:r>
      <w:r>
        <w:rPr>
          <w:rFonts w:ascii="Arial" w:hAnsi="Arial" w:cs="Arial" w:hint="cs"/>
          <w:sz w:val="28"/>
          <w:rtl/>
        </w:rPr>
        <w:t xml:space="preserve"> באופן עצמאי, ו</w:t>
      </w:r>
      <w:r w:rsidRPr="00DD318B">
        <w:rPr>
          <w:rFonts w:ascii="Arial" w:hAnsi="Arial" w:cs="Arial"/>
          <w:sz w:val="28"/>
          <w:rtl/>
        </w:rPr>
        <w:t>אינה מתפתה לדעת הרוב</w:t>
      </w:r>
      <w:r>
        <w:rPr>
          <w:rFonts w:ascii="Arial" w:hAnsi="Arial" w:cs="Arial" w:hint="cs"/>
          <w:sz w:val="28"/>
          <w:rtl/>
        </w:rPr>
        <w:t>,</w:t>
      </w:r>
      <w:r w:rsidRPr="00DD318B">
        <w:rPr>
          <w:rFonts w:ascii="Arial" w:hAnsi="Arial" w:cs="Arial"/>
          <w:sz w:val="28"/>
          <w:rtl/>
        </w:rPr>
        <w:t xml:space="preserve"> פונים אל חברי הכיתה בניסיון לשכנעם בצדקת דרכם. </w:t>
      </w:r>
      <w:r>
        <w:rPr>
          <w:rFonts w:ascii="Arial" w:hAnsi="Arial" w:cs="Arial" w:hint="cs"/>
          <w:sz w:val="28"/>
          <w:rtl/>
        </w:rPr>
        <w:t xml:space="preserve">רונה, </w:t>
      </w:r>
      <w:r w:rsidRPr="00DD318B">
        <w:rPr>
          <w:rFonts w:ascii="Arial" w:hAnsi="Arial" w:cs="Arial"/>
          <w:sz w:val="28"/>
          <w:rtl/>
        </w:rPr>
        <w:t>המייצגת את עיקרון החירות, מתמודדת מול המורה וחבריה</w:t>
      </w:r>
      <w:r>
        <w:rPr>
          <w:rFonts w:ascii="Arial" w:hAnsi="Arial" w:cs="Arial" w:hint="cs"/>
          <w:sz w:val="28"/>
          <w:rtl/>
        </w:rPr>
        <w:t>,</w:t>
      </w:r>
      <w:r w:rsidRPr="00DD318B">
        <w:rPr>
          <w:rFonts w:ascii="Arial" w:hAnsi="Arial" w:cs="Arial"/>
          <w:sz w:val="28"/>
          <w:rtl/>
        </w:rPr>
        <w:t xml:space="preserve"> אך. היא מנסה לשווא לשכנע את חבריה. לעומתה המורה, הזקוק ללגיטימציה של החברה, מצליח לשכנע את הכיתה בצדקת דרכו, אך אינו מצליח לשכנע את </w:t>
      </w:r>
      <w:r>
        <w:rPr>
          <w:rFonts w:ascii="Arial" w:hAnsi="Arial" w:cs="Arial"/>
          <w:sz w:val="28"/>
          <w:rtl/>
        </w:rPr>
        <w:t>ההורים ואת  מנהל בית הספר</w:t>
      </w:r>
      <w:r w:rsidRPr="00DD318B">
        <w:rPr>
          <w:rFonts w:ascii="Arial" w:hAnsi="Arial" w:cs="Arial"/>
          <w:sz w:val="28"/>
          <w:rtl/>
        </w:rPr>
        <w:t xml:space="preserve">. לענייננו, מסמלת כאן </w:t>
      </w:r>
      <w:r>
        <w:rPr>
          <w:rFonts w:ascii="Arial" w:hAnsi="Arial" w:cs="Arial" w:hint="cs"/>
          <w:sz w:val="28"/>
          <w:rtl/>
        </w:rPr>
        <w:t xml:space="preserve">רונה </w:t>
      </w:r>
      <w:r w:rsidRPr="00DD318B">
        <w:rPr>
          <w:rFonts w:ascii="Arial" w:hAnsi="Arial" w:cs="Arial"/>
          <w:sz w:val="28"/>
          <w:rtl/>
        </w:rPr>
        <w:t>את מסורת הדמוקרטיה הליברלית, ו</w:t>
      </w:r>
      <w:r>
        <w:rPr>
          <w:rFonts w:ascii="Arial" w:hAnsi="Arial" w:cs="Arial" w:hint="cs"/>
          <w:sz w:val="28"/>
          <w:rtl/>
        </w:rPr>
        <w:t>המורה</w:t>
      </w:r>
      <w:r w:rsidRPr="00DD318B">
        <w:rPr>
          <w:rFonts w:ascii="Arial" w:hAnsi="Arial" w:cs="Arial"/>
          <w:sz w:val="28"/>
          <w:rtl/>
        </w:rPr>
        <w:t xml:space="preserve"> מייצג את המסורת הדמוקרטית-רדיקלית</w:t>
      </w:r>
      <w:r>
        <w:rPr>
          <w:rFonts w:ascii="Arial" w:hAnsi="Arial" w:cs="Arial" w:hint="cs"/>
          <w:sz w:val="28"/>
          <w:rtl/>
        </w:rPr>
        <w:t xml:space="preserve"> המובילה בסופו של דבר למשטר דיקטטורי. </w:t>
      </w:r>
      <w:r w:rsidRPr="00DD318B">
        <w:rPr>
          <w:rFonts w:ascii="Arial" w:hAnsi="Arial" w:cs="Arial"/>
          <w:sz w:val="28"/>
          <w:rtl/>
        </w:rPr>
        <w:t xml:space="preserve">. </w:t>
      </w:r>
    </w:p>
    <w:p w:rsidR="00D65C4E" w:rsidRPr="00DD318B" w:rsidRDefault="00D65C4E" w:rsidP="00D65C4E">
      <w:pPr>
        <w:tabs>
          <w:tab w:val="left" w:pos="432"/>
          <w:tab w:val="left" w:pos="515"/>
          <w:tab w:val="left" w:pos="720"/>
          <w:tab w:val="left" w:pos="1007"/>
          <w:tab w:val="left" w:pos="1440"/>
          <w:tab w:val="left" w:pos="2880"/>
          <w:tab w:val="left" w:pos="4320"/>
          <w:tab w:val="left" w:pos="5760"/>
          <w:tab w:val="left" w:pos="7745"/>
        </w:tabs>
        <w:spacing w:line="360" w:lineRule="auto"/>
        <w:ind w:left="-52" w:right="709"/>
        <w:jc w:val="both"/>
        <w:rPr>
          <w:rFonts w:ascii="Arial" w:hAnsi="Arial" w:cs="Arial"/>
          <w:sz w:val="28"/>
          <w:rtl/>
        </w:rPr>
      </w:pPr>
      <w:r w:rsidRPr="00DD318B">
        <w:rPr>
          <w:rFonts w:ascii="Arial" w:hAnsi="Arial" w:cs="Arial"/>
          <w:sz w:val="28"/>
          <w:rtl/>
        </w:rPr>
        <w:t>הרעיון הדמוקרטי עולה רק עם הופעתו של היטלר על גבי</w:t>
      </w:r>
      <w:r>
        <w:rPr>
          <w:rFonts w:ascii="Arial" w:hAnsi="Arial" w:cs="Arial"/>
          <w:sz w:val="28"/>
          <w:rtl/>
        </w:rPr>
        <w:t xml:space="preserve"> המסך. הופעתו </w:t>
      </w:r>
      <w:r w:rsidRPr="00DD318B">
        <w:rPr>
          <w:rFonts w:ascii="Arial" w:hAnsi="Arial" w:cs="Arial"/>
          <w:sz w:val="28"/>
          <w:rtl/>
        </w:rPr>
        <w:t>מדגימה ללומדים את חשיבותה של הביקורת, מסייעת להם להפנים את מושג הטוטליטריות ולהכיר בזיקת הגומלין שבין דמוקרטיה וטוטליטריות.</w:t>
      </w:r>
    </w:p>
    <w:p w:rsidR="00D65C4E" w:rsidRPr="00DD318B" w:rsidRDefault="00D65C4E" w:rsidP="00D65C4E">
      <w:pPr>
        <w:tabs>
          <w:tab w:val="left" w:pos="515"/>
          <w:tab w:val="left" w:pos="720"/>
          <w:tab w:val="left" w:pos="1440"/>
          <w:tab w:val="left" w:pos="5616"/>
          <w:tab w:val="left" w:pos="7745"/>
        </w:tabs>
        <w:spacing w:line="360" w:lineRule="auto"/>
        <w:ind w:left="-52" w:right="709"/>
        <w:jc w:val="both"/>
        <w:rPr>
          <w:rFonts w:ascii="Arial" w:hAnsi="Arial" w:cs="Arial"/>
          <w:sz w:val="28"/>
          <w:rtl/>
        </w:rPr>
      </w:pPr>
      <w:r>
        <w:rPr>
          <w:rFonts w:ascii="Arial" w:hAnsi="Arial" w:cs="Arial" w:hint="cs"/>
          <w:sz w:val="28"/>
          <w:rtl/>
        </w:rPr>
        <w:t xml:space="preserve">לסיכום, </w:t>
      </w:r>
      <w:r w:rsidRPr="00DD318B">
        <w:rPr>
          <w:rFonts w:ascii="Arial" w:hAnsi="Arial" w:cs="Arial"/>
          <w:sz w:val="28"/>
          <w:rtl/>
        </w:rPr>
        <w:t xml:space="preserve">שני סוגי המשטרים, הדמוקרטי והטוטליטרי, רואים את עצמם כנציגי העם. אבל </w:t>
      </w:r>
      <w:r>
        <w:rPr>
          <w:rFonts w:ascii="Arial" w:hAnsi="Arial" w:cs="Arial" w:hint="cs"/>
          <w:sz w:val="28"/>
          <w:rtl/>
        </w:rPr>
        <w:t xml:space="preserve">קיים ביניהם הבדל מהותי: </w:t>
      </w:r>
      <w:r w:rsidRPr="00DD318B">
        <w:rPr>
          <w:rFonts w:ascii="Arial" w:hAnsi="Arial" w:cs="Arial"/>
          <w:sz w:val="28"/>
          <w:rtl/>
        </w:rPr>
        <w:t>האפשרות לבטא</w:t>
      </w:r>
      <w:r>
        <w:rPr>
          <w:rFonts w:ascii="Arial" w:hAnsi="Arial" w:cs="Arial" w:hint="cs"/>
          <w:sz w:val="28"/>
          <w:rtl/>
        </w:rPr>
        <w:t xml:space="preserve"> את הביקורת באופן חופשי. היא הקו המפריד בין שני סוגי המשטרים. </w:t>
      </w:r>
      <w:r w:rsidRPr="00DD318B">
        <w:rPr>
          <w:rFonts w:ascii="Arial" w:hAnsi="Arial" w:cs="Arial"/>
          <w:sz w:val="28"/>
          <w:rtl/>
        </w:rPr>
        <w:t xml:space="preserve"> משטר טוטליטרי הוא משטר המתיימר להישען  על  </w:t>
      </w:r>
      <w:r w:rsidRPr="00DD318B">
        <w:rPr>
          <w:rFonts w:ascii="Arial" w:hAnsi="Arial" w:cs="Arial"/>
          <w:b/>
          <w:bCs/>
          <w:sz w:val="28"/>
        </w:rPr>
        <w:t>Demos"</w:t>
      </w:r>
      <w:r w:rsidRPr="00DD318B">
        <w:rPr>
          <w:rFonts w:ascii="Arial" w:hAnsi="Arial" w:cs="Arial"/>
          <w:sz w:val="28"/>
          <w:rtl/>
        </w:rPr>
        <w:t>" (העם), אך שולל וחוסם את הביקורת.</w:t>
      </w:r>
    </w:p>
    <w:p w:rsidR="00D65C4E" w:rsidRDefault="00D65C4E" w:rsidP="00D65C4E">
      <w:pPr>
        <w:tabs>
          <w:tab w:val="left" w:pos="515"/>
          <w:tab w:val="left" w:pos="720"/>
          <w:tab w:val="left" w:pos="1440"/>
          <w:tab w:val="left" w:pos="5616"/>
          <w:tab w:val="left" w:pos="7745"/>
        </w:tabs>
        <w:spacing w:line="360" w:lineRule="auto"/>
        <w:ind w:left="-52" w:right="709"/>
        <w:jc w:val="both"/>
      </w:pPr>
      <w:r w:rsidRPr="00DD318B">
        <w:rPr>
          <w:rFonts w:ascii="Arial" w:hAnsi="Arial" w:cs="Arial"/>
          <w:sz w:val="28"/>
          <w:rtl/>
        </w:rPr>
        <w:t xml:space="preserve">לפי התיאוריה הליברלית ההמון, שמאז המהפכה הצרפתית והתפתחות התנועות הלאומיות הגדיר עצמו כעם, הוא בלתי צפוי, ובשעה שהמנהיגים נוקטים דרכים דמגוגיות או מעמידים לפני העם פיתויים </w:t>
      </w:r>
      <w:r>
        <w:rPr>
          <w:rFonts w:ascii="Arial" w:hAnsi="Arial" w:cs="Arial" w:hint="cs"/>
          <w:sz w:val="28"/>
          <w:rtl/>
        </w:rPr>
        <w:t xml:space="preserve">שונים במסווה </w:t>
      </w:r>
      <w:r w:rsidRPr="00DD318B">
        <w:rPr>
          <w:rFonts w:ascii="Arial" w:hAnsi="Arial" w:cs="Arial"/>
          <w:sz w:val="28"/>
          <w:rtl/>
        </w:rPr>
        <w:t xml:space="preserve">של </w:t>
      </w:r>
      <w:r>
        <w:rPr>
          <w:rFonts w:ascii="Arial" w:hAnsi="Arial" w:cs="Arial" w:hint="cs"/>
          <w:sz w:val="28"/>
          <w:rtl/>
        </w:rPr>
        <w:t>"</w:t>
      </w:r>
      <w:r w:rsidRPr="00DD318B">
        <w:rPr>
          <w:rFonts w:ascii="Arial" w:hAnsi="Arial" w:cs="Arial"/>
          <w:sz w:val="28"/>
          <w:rtl/>
        </w:rPr>
        <w:t>צרכי השעה</w:t>
      </w:r>
      <w:r>
        <w:rPr>
          <w:rFonts w:ascii="Arial" w:hAnsi="Arial" w:cs="Arial" w:hint="cs"/>
          <w:sz w:val="28"/>
          <w:rtl/>
        </w:rPr>
        <w:t>"</w:t>
      </w:r>
      <w:r w:rsidRPr="00DD318B">
        <w:rPr>
          <w:rFonts w:ascii="Arial" w:hAnsi="Arial" w:cs="Arial"/>
          <w:sz w:val="28"/>
          <w:rtl/>
        </w:rPr>
        <w:t xml:space="preserve">, עלול ההמון לתמוך במשטרים טוטליטריים. בעבר קרו תהליכים אלה בגרמניה, ברוסיה, בסין  באיטליה ובמדינות אמריקה הדרומית. בניגוד למשטרים טוטליטריים, המגבילים את חירויות הפרט בשם טובת הכלל, פתוחה החברה הדמוקרטית-ליברלית ליתר חופש. </w:t>
      </w:r>
    </w:p>
    <w:p w:rsidR="00541AC6" w:rsidRPr="00D65C4E" w:rsidRDefault="00541AC6"/>
    <w:sectPr w:rsidR="00541AC6" w:rsidRPr="00D65C4E" w:rsidSect="005E1692">
      <w:headerReference w:type="even" r:id="rId5"/>
      <w:headerReference w:type="default" r:id="rId6"/>
      <w:pgSz w:w="11906" w:h="16838"/>
      <w:pgMar w:top="993"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F9" w:rsidRDefault="00D65C4E" w:rsidP="00F25D15">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9026F9" w:rsidRDefault="00D65C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F9" w:rsidRDefault="00D65C4E" w:rsidP="00F25D15">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rsidR="009026F9" w:rsidRDefault="00D65C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4E"/>
    <w:rsid w:val="00541AC6"/>
    <w:rsid w:val="00715C4C"/>
    <w:rsid w:val="00D65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C4E"/>
    <w:pPr>
      <w:bidi/>
      <w:spacing w:after="0" w:line="240" w:lineRule="auto"/>
    </w:pPr>
    <w:rPr>
      <w:rFonts w:ascii="Times New Roman" w:eastAsia="Times New Roman" w:hAnsi="Times New Roman" w:cs="David"/>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5C4E"/>
    <w:pPr>
      <w:tabs>
        <w:tab w:val="center" w:pos="4153"/>
        <w:tab w:val="right" w:pos="8306"/>
      </w:tabs>
    </w:pPr>
  </w:style>
  <w:style w:type="character" w:customStyle="1" w:styleId="a4">
    <w:name w:val="כותרת עליונה תו"/>
    <w:basedOn w:val="a0"/>
    <w:link w:val="a3"/>
    <w:rsid w:val="00D65C4E"/>
    <w:rPr>
      <w:rFonts w:ascii="Times New Roman" w:eastAsia="Times New Roman" w:hAnsi="Times New Roman" w:cs="David"/>
      <w:sz w:val="20"/>
      <w:szCs w:val="28"/>
    </w:rPr>
  </w:style>
  <w:style w:type="character" w:styleId="a5">
    <w:name w:val="page number"/>
    <w:basedOn w:val="a0"/>
    <w:rsid w:val="00D65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C4E"/>
    <w:pPr>
      <w:bidi/>
      <w:spacing w:after="0" w:line="240" w:lineRule="auto"/>
    </w:pPr>
    <w:rPr>
      <w:rFonts w:ascii="Times New Roman" w:eastAsia="Times New Roman" w:hAnsi="Times New Roman" w:cs="David"/>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5C4E"/>
    <w:pPr>
      <w:tabs>
        <w:tab w:val="center" w:pos="4153"/>
        <w:tab w:val="right" w:pos="8306"/>
      </w:tabs>
    </w:pPr>
  </w:style>
  <w:style w:type="character" w:customStyle="1" w:styleId="a4">
    <w:name w:val="כותרת עליונה תו"/>
    <w:basedOn w:val="a0"/>
    <w:link w:val="a3"/>
    <w:rsid w:val="00D65C4E"/>
    <w:rPr>
      <w:rFonts w:ascii="Times New Roman" w:eastAsia="Times New Roman" w:hAnsi="Times New Roman" w:cs="David"/>
      <w:sz w:val="20"/>
      <w:szCs w:val="28"/>
    </w:rPr>
  </w:style>
  <w:style w:type="character" w:styleId="a5">
    <w:name w:val="page number"/>
    <w:basedOn w:val="a0"/>
    <w:rsid w:val="00D6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2550</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אביב צמח</dc:creator>
  <cp:keywords/>
  <dc:description/>
  <cp:lastModifiedBy>אביב צמח</cp:lastModifiedBy>
  <cp:revision>1</cp:revision>
  <dcterms:created xsi:type="dcterms:W3CDTF">2012-02-26T08:36:00Z</dcterms:created>
  <dcterms:modified xsi:type="dcterms:W3CDTF">2012-02-26T08:36:00Z</dcterms:modified>
</cp:coreProperties>
</file>